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667570F1" w:rsidR="00D309CC" w:rsidRDefault="00EA5EAF" w:rsidP="00D46431">
      <w:pPr>
        <w:pStyle w:val="CH"/>
      </w:pPr>
      <w:bookmarkStart w:id="0" w:name="historyclause"/>
      <w:r w:rsidRPr="009F0E8D">
        <w:t>3GPP RAN WG4 Meeting #</w:t>
      </w:r>
      <w:r w:rsidR="008C4E0A">
        <w:t>100e</w:t>
      </w:r>
      <w:r w:rsidR="00D309CC">
        <w:tab/>
      </w:r>
      <w:r w:rsidR="00D46431">
        <w:tab/>
      </w:r>
      <w:r w:rsidR="00611E31" w:rsidRPr="00611E31">
        <w:t>R4-2114375</w:t>
      </w:r>
    </w:p>
    <w:p w14:paraId="50DC9730" w14:textId="341FDECE" w:rsidR="00D309CC" w:rsidRPr="00FD166F" w:rsidRDefault="00EA5EAF" w:rsidP="00D46431">
      <w:pPr>
        <w:pStyle w:val="CH"/>
        <w:tabs>
          <w:tab w:val="clear" w:pos="7920"/>
        </w:tabs>
        <w:rPr>
          <w:b w:val="0"/>
        </w:rPr>
      </w:pPr>
      <w:r w:rsidRPr="005B0B43">
        <w:t xml:space="preserve">Electronic meeting, </w:t>
      </w:r>
      <w:r w:rsidR="008C4E0A">
        <w:t>16</w:t>
      </w:r>
      <w:r w:rsidR="008C4E0A" w:rsidRPr="00D93B95">
        <w:t xml:space="preserve"> – 2</w:t>
      </w:r>
      <w:r w:rsidR="008C4E0A">
        <w:t>7</w:t>
      </w:r>
      <w:r w:rsidR="008C4E0A" w:rsidRPr="00D93B95">
        <w:t xml:space="preserve">th </w:t>
      </w:r>
      <w:r w:rsidR="008C4E0A">
        <w:t>August</w:t>
      </w:r>
      <w:r w:rsidR="008C4E0A" w:rsidRPr="00D93B95">
        <w:t xml:space="preserve"> 2021</w:t>
      </w:r>
      <w:r w:rsidR="00D46431">
        <w:tab/>
      </w:r>
    </w:p>
    <w:p w14:paraId="39A0EE25" w14:textId="77777777" w:rsidR="00D309CC" w:rsidRDefault="00D309CC" w:rsidP="00D309CC">
      <w:pPr>
        <w:tabs>
          <w:tab w:val="left" w:pos="2160"/>
        </w:tabs>
        <w:rPr>
          <w:rFonts w:ascii="Arial" w:hAnsi="Arial" w:cs="Arial"/>
          <w:b/>
        </w:rPr>
      </w:pPr>
    </w:p>
    <w:p w14:paraId="6DDCE159" w14:textId="09E38851" w:rsidR="00D309CC" w:rsidRPr="0008103A" w:rsidRDefault="00D309CC" w:rsidP="00D309CC">
      <w:pPr>
        <w:pStyle w:val="CH"/>
        <w:rPr>
          <w:b w:val="0"/>
        </w:rPr>
      </w:pPr>
      <w:r w:rsidRPr="0008103A">
        <w:t>Agenda item:</w:t>
      </w:r>
      <w:r>
        <w:tab/>
      </w:r>
      <w:r w:rsidR="000B3D54">
        <w:t>8.1.</w:t>
      </w:r>
      <w:r w:rsidR="008C4E0A">
        <w:t>5</w:t>
      </w:r>
    </w:p>
    <w:p w14:paraId="4DBE005A" w14:textId="4B6C534B" w:rsidR="00D309CC" w:rsidRPr="0008103A" w:rsidRDefault="00D309CC" w:rsidP="00D309CC">
      <w:pPr>
        <w:pStyle w:val="CH"/>
        <w:rPr>
          <w:b w:val="0"/>
        </w:rPr>
      </w:pPr>
      <w:r>
        <w:t>Source:</w:t>
      </w:r>
      <w:r>
        <w:tab/>
        <w:t>Apple</w:t>
      </w:r>
    </w:p>
    <w:p w14:paraId="0D2061A1" w14:textId="3328F67A" w:rsidR="00D309CC" w:rsidRDefault="00D309CC" w:rsidP="00D309CC">
      <w:pPr>
        <w:pStyle w:val="CH"/>
      </w:pPr>
      <w:r w:rsidRPr="0008103A">
        <w:t>Title:</w:t>
      </w:r>
      <w:r w:rsidRPr="0008103A">
        <w:tab/>
      </w:r>
      <w:r w:rsidR="00D20021" w:rsidRPr="00D20021">
        <w:t>On LPI and VLP modes for mixed indoor/outdoor scenarios</w:t>
      </w:r>
    </w:p>
    <w:p w14:paraId="052B1E0C" w14:textId="7C8BFB25" w:rsidR="00104BC6" w:rsidRDefault="00104BC6" w:rsidP="00D309CC">
      <w:pPr>
        <w:pStyle w:val="CH"/>
      </w:pPr>
      <w:r>
        <w:t>WI/SI:</w:t>
      </w:r>
      <w:r>
        <w:tab/>
      </w:r>
      <w:r w:rsidR="00EA5EAF" w:rsidRPr="00EA5EAF">
        <w:t>NR_6GHz_unlic_EU</w:t>
      </w:r>
    </w:p>
    <w:p w14:paraId="6C6D1281" w14:textId="55AA1C00" w:rsidR="00104BC6" w:rsidRDefault="00104BC6" w:rsidP="00D309CC">
      <w:pPr>
        <w:pStyle w:val="CH"/>
        <w:rPr>
          <w:b w:val="0"/>
        </w:rPr>
      </w:pPr>
      <w:r>
        <w:t>Release:</w:t>
      </w:r>
      <w:r>
        <w:tab/>
      </w:r>
      <w:r w:rsidRPr="00EA5EAF">
        <w:t>Rel-</w:t>
      </w:r>
      <w:r w:rsidR="00EA5EAF" w:rsidRPr="00EA5EAF">
        <w:t>17</w:t>
      </w:r>
    </w:p>
    <w:p w14:paraId="2E4E044D" w14:textId="25C01846" w:rsidR="00D309CC" w:rsidRDefault="00D309CC" w:rsidP="00D309CC">
      <w:pPr>
        <w:pStyle w:val="CH"/>
      </w:pPr>
      <w:r>
        <w:t>Document for:</w:t>
      </w:r>
      <w:r>
        <w:tab/>
      </w:r>
      <w:r w:rsidR="00EA5EAF">
        <w:t>Decision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28C46278" w14:textId="3D67E1EA" w:rsidR="008A3B4F" w:rsidRDefault="00C27E2F" w:rsidP="008E7986">
      <w:r>
        <w:t xml:space="preserve">3GPP Rel-16 </w:t>
      </w:r>
      <w:r w:rsidR="00CD5E72" w:rsidRPr="00CD5E72">
        <w:t>NR-U WI</w:t>
      </w:r>
      <w:r>
        <w:t xml:space="preserve"> </w:t>
      </w:r>
      <w:r>
        <w:fldChar w:fldCharType="begin"/>
      </w:r>
      <w:r>
        <w:instrText xml:space="preserve"> REF _Ref61300565 \r \h </w:instrText>
      </w:r>
      <w:r>
        <w:fldChar w:fldCharType="separate"/>
      </w:r>
      <w:r>
        <w:t>[1]</w:t>
      </w:r>
      <w:r>
        <w:fldChar w:fldCharType="end"/>
      </w:r>
      <w:r w:rsidR="00CD5E72" w:rsidRPr="00CD5E72">
        <w:t xml:space="preserve"> </w:t>
      </w:r>
      <w:r>
        <w:t>specified</w:t>
      </w:r>
      <w:r w:rsidR="00CD5E72" w:rsidRPr="00CD5E72">
        <w:t xml:space="preserve"> how the NR technology can be used on the unlicensed spectrum thus offering more resources in frequency bands, such as 5GHz and 6GHz</w:t>
      </w:r>
      <w:r w:rsidR="003E7753">
        <w:t xml:space="preserve">. </w:t>
      </w:r>
      <w:r w:rsidR="008E7986">
        <w:t xml:space="preserve"> </w:t>
      </w:r>
      <w:r w:rsidR="00CD5E72">
        <w:t xml:space="preserve">While 5GHz is a well-known band for the unlicensed operation, 6GHz is a relative new band usage of which was approved recently in different </w:t>
      </w:r>
      <w:r w:rsidR="003E1D99">
        <w:t xml:space="preserve">regulatory </w:t>
      </w:r>
      <w:r w:rsidR="00CD5E72">
        <w:t xml:space="preserve">regions. </w:t>
      </w:r>
      <w:r>
        <w:t xml:space="preserve">Referring to the latest </w:t>
      </w:r>
      <w:r w:rsidR="008A3B4F">
        <w:t xml:space="preserve">6GHz </w:t>
      </w:r>
      <w:r>
        <w:t>regulatory status update</w:t>
      </w:r>
      <w:r w:rsidR="00760E53">
        <w:t xml:space="preserve"> </w:t>
      </w:r>
      <w:r w:rsidR="00760E53">
        <w:fldChar w:fldCharType="begin"/>
      </w:r>
      <w:r w:rsidR="00760E53">
        <w:instrText xml:space="preserve"> REF _Ref61460191 \r \h </w:instrText>
      </w:r>
      <w:r w:rsidR="00760E53">
        <w:fldChar w:fldCharType="separate"/>
      </w:r>
      <w:r w:rsidR="00760E53">
        <w:t>[2]</w:t>
      </w:r>
      <w:r w:rsidR="00760E53">
        <w:fldChar w:fldCharType="end"/>
      </w:r>
      <w:r>
        <w:t xml:space="preserve">, FCC approved license-exempt usage in the frequency range of 5925-7125MHz, which has been already reflected by the corresponding 3GPP band n96. </w:t>
      </w:r>
      <w:r w:rsidR="003E1D99">
        <w:t>In addition to that</w:t>
      </w:r>
      <w:r>
        <w:t xml:space="preserve">, </w:t>
      </w:r>
      <w:r w:rsidR="003E1D99">
        <w:t xml:space="preserve">the regulatory framework for </w:t>
      </w:r>
      <w:r w:rsidR="00E52AD0">
        <w:t>the EU/</w:t>
      </w:r>
      <w:r>
        <w:t xml:space="preserve">CEPT countries </w:t>
      </w:r>
      <w:r w:rsidR="003E1D99">
        <w:t xml:space="preserve">was completed in November covering </w:t>
      </w:r>
      <w:r w:rsidR="00E8614A">
        <w:t xml:space="preserve">the </w:t>
      </w:r>
      <w:r w:rsidR="003E1D99">
        <w:t>5945-6425MHz frequency range</w:t>
      </w:r>
      <w:r w:rsidR="00E8614A">
        <w:t>.</w:t>
      </w:r>
      <w:r w:rsidR="003E1D99">
        <w:t xml:space="preserve"> </w:t>
      </w:r>
      <w:r w:rsidR="00E52AD0">
        <w:t xml:space="preserve">There are several more countries/regions, such as South Korea, Brazil and Saudi Arabia, that have announced recently the corresponding regulatory parameters for the 6GHz band.  </w:t>
      </w:r>
    </w:p>
    <w:p w14:paraId="5D58139B" w14:textId="77777777" w:rsidR="000B3D54" w:rsidRDefault="008A3B4F" w:rsidP="008E7986">
      <w:r>
        <w:t xml:space="preserve">Since the 6GHz regulatory framework for the CEPT countries is completed, 3GPP RAN#90 meeting decided to resume the corresponding WI </w:t>
      </w:r>
      <w:r w:rsidR="00760E53">
        <w:fldChar w:fldCharType="begin"/>
      </w:r>
      <w:r w:rsidR="00760E53">
        <w:instrText xml:space="preserve"> REF _Ref61460200 \r \h </w:instrText>
      </w:r>
      <w:r w:rsidR="00760E53">
        <w:fldChar w:fldCharType="separate"/>
      </w:r>
      <w:r w:rsidR="00760E53">
        <w:t>[3]</w:t>
      </w:r>
      <w:r w:rsidR="00760E53">
        <w:fldChar w:fldCharType="end"/>
      </w:r>
      <w:r>
        <w:t xml:space="preserve"> that aims at adding </w:t>
      </w:r>
      <w:r w:rsidR="00E8614A">
        <w:t xml:space="preserve">3GPP </w:t>
      </w:r>
      <w:r>
        <w:t xml:space="preserve">support </w:t>
      </w:r>
      <w:r w:rsidR="00084063">
        <w:t>for</w:t>
      </w:r>
      <w:r>
        <w:t xml:space="preserve"> the 6GHz band in that regulatory region. </w:t>
      </w:r>
      <w:r w:rsidR="000B3D54">
        <w:t>Referring to the EU/CEPT regulatory rules, low-power indoor and very low power indoor/outdoor modes of operation are allowed</w:t>
      </w:r>
      <w:r>
        <w:t xml:space="preserve">. </w:t>
      </w:r>
      <w:r w:rsidR="000B3D54">
        <w:t xml:space="preserve">In fact, other countries such as Brazil and South Korea follow the same principle of defining different modes with different maximum transmission power for indoor and outdoor operation. </w:t>
      </w:r>
    </w:p>
    <w:p w14:paraId="26940C63" w14:textId="422D74EE" w:rsidR="000B3D54" w:rsidRDefault="000B3D54" w:rsidP="008E7986">
      <w:r>
        <w:t>What remains unclear is while there can be an indoor NR-U base station allowing higher transmission power, there is a relatively high probability that an outdoor UE will camp on that cell thus violating regulatory requirements for the outdoor usage. In this discussion paper we elaborate further on potential mixed deployment cases asking RAN WG4 to consider potential issue that can emerge in this case.</w:t>
      </w:r>
    </w:p>
    <w:p w14:paraId="3A67921B" w14:textId="3775BB83" w:rsidR="008E7986" w:rsidRDefault="008E7986" w:rsidP="008E7986">
      <w:pPr>
        <w:pStyle w:val="Heading1"/>
      </w:pPr>
      <w:r>
        <w:t>2</w:t>
      </w:r>
      <w:r>
        <w:tab/>
      </w:r>
      <w:r w:rsidR="00BD4EB5">
        <w:t>LPI and VLP modes</w:t>
      </w:r>
      <w:r w:rsidR="008A3B4F">
        <w:t xml:space="preserve"> </w:t>
      </w:r>
      <w:r>
        <w:t xml:space="preserve"> </w:t>
      </w:r>
    </w:p>
    <w:p w14:paraId="78039060" w14:textId="0C07BED0" w:rsidR="000B3D54" w:rsidRDefault="008A3B4F" w:rsidP="00E72324">
      <w:r>
        <w:t xml:space="preserve">As already mentioned in the Introduction part, </w:t>
      </w:r>
      <w:r w:rsidR="0011527E">
        <w:t xml:space="preserve">while </w:t>
      </w:r>
      <w:r w:rsidR="002E69AD">
        <w:t>some countries</w:t>
      </w:r>
      <w:r w:rsidR="0011527E">
        <w:t xml:space="preserve"> </w:t>
      </w:r>
      <w:r w:rsidR="000B3D54">
        <w:t xml:space="preserve">(US, South Korea, Brazil, etc) </w:t>
      </w:r>
      <w:r w:rsidR="0011527E">
        <w:t>ha</w:t>
      </w:r>
      <w:r w:rsidR="002E69AD">
        <w:t>ve</w:t>
      </w:r>
      <w:r w:rsidR="0011527E">
        <w:t xml:space="preserve"> allocated the full range of 5925-7125MHz to the license-exempt operation</w:t>
      </w:r>
      <w:r w:rsidR="002128C7">
        <w:t>,</w:t>
      </w:r>
      <w:r w:rsidR="0011527E">
        <w:t xml:space="preserve"> </w:t>
      </w:r>
      <w:r w:rsidR="000B3D54">
        <w:t>there are</w:t>
      </w:r>
      <w:r w:rsidR="0011527E">
        <w:t xml:space="preserve"> countries</w:t>
      </w:r>
      <w:r w:rsidR="000B3D54">
        <w:t>, e.g. EU/CEPT,</w:t>
      </w:r>
      <w:r w:rsidR="0011527E">
        <w:t xml:space="preserve"> </w:t>
      </w:r>
      <w:r w:rsidR="000B3D54">
        <w:t xml:space="preserve">that </w:t>
      </w:r>
      <w:r w:rsidR="0011527E">
        <w:t>will use a smaller portion of the 6GHz band for the unlicensed operation</w:t>
      </w:r>
      <w:r w:rsidR="00E72324">
        <w:t>.</w:t>
      </w:r>
      <w:r w:rsidR="0011527E">
        <w:t xml:space="preserve"> </w:t>
      </w:r>
      <w:r w:rsidR="000B3D54">
        <w:t xml:space="preserve">Nevertheless, irrespective of which frequency is used in a particular country or region, </w:t>
      </w:r>
      <w:r w:rsidR="002128C7">
        <w:t>most</w:t>
      </w:r>
      <w:r w:rsidR="002E69AD">
        <w:t xml:space="preserve"> Administrations differentiate between </w:t>
      </w:r>
      <w:r w:rsidR="000B3D54">
        <w:t xml:space="preserve">low power </w:t>
      </w:r>
      <w:r w:rsidR="002E69AD">
        <w:t xml:space="preserve">indoor and </w:t>
      </w:r>
      <w:r w:rsidR="000B3D54">
        <w:t>very low power indoor/</w:t>
      </w:r>
      <w:r w:rsidR="002128C7">
        <w:t>outdoor</w:t>
      </w:r>
      <w:r w:rsidR="002E69AD">
        <w:t xml:space="preserve"> mode</w:t>
      </w:r>
      <w:r w:rsidR="000B3D54">
        <w:t>s (refer to Figure 2-1). And as it follows from its name</w:t>
      </w:r>
      <w:r w:rsidR="002E69AD">
        <w:t xml:space="preserve">, the </w:t>
      </w:r>
      <w:r w:rsidR="002128C7">
        <w:t xml:space="preserve">indoor mode allows </w:t>
      </w:r>
      <w:r w:rsidR="000B3D54">
        <w:t xml:space="preserve">noticeable </w:t>
      </w:r>
      <w:r w:rsidR="002128C7">
        <w:t>higher transmission power</w:t>
      </w:r>
      <w:r w:rsidR="000B3D54">
        <w:t>:</w:t>
      </w:r>
      <w:r w:rsidR="002128C7">
        <w:t xml:space="preserve"> </w:t>
      </w:r>
    </w:p>
    <w:p w14:paraId="5B8466AD" w14:textId="6E2E3582" w:rsidR="000B3D54" w:rsidRDefault="000B3D54" w:rsidP="000B3D54">
      <w:pPr>
        <w:pStyle w:val="B1"/>
      </w:pPr>
      <w:r>
        <w:t>-</w:t>
      </w:r>
      <w:r>
        <w:tab/>
        <w:t xml:space="preserve">EU/CEPT: Both LPI and VLP modes are allowed in </w:t>
      </w:r>
      <w:r w:rsidRPr="00E52AD0">
        <w:t xml:space="preserve">5945 </w:t>
      </w:r>
      <w:r>
        <w:t>–</w:t>
      </w:r>
      <w:r w:rsidRPr="00E52AD0">
        <w:t xml:space="preserve"> 6425</w:t>
      </w:r>
      <w:r>
        <w:t xml:space="preserve"> </w:t>
      </w:r>
      <w:r w:rsidRPr="00E52AD0">
        <w:t>MHz</w:t>
      </w:r>
      <w:r>
        <w:t>;</w:t>
      </w:r>
    </w:p>
    <w:p w14:paraId="7DC7AEB7" w14:textId="27DB86F3" w:rsidR="00C8386E" w:rsidRDefault="00C8386E" w:rsidP="000B3D54">
      <w:pPr>
        <w:pStyle w:val="B1"/>
      </w:pPr>
      <w:r>
        <w:t>-</w:t>
      </w:r>
      <w:r>
        <w:tab/>
        <w:t xml:space="preserve">UK: Both LPI and VLP modes are allowed in </w:t>
      </w:r>
      <w:r w:rsidRPr="00E52AD0">
        <w:t>59</w:t>
      </w:r>
      <w:r>
        <w:t>2</w:t>
      </w:r>
      <w:r w:rsidRPr="00E52AD0">
        <w:t xml:space="preserve">5 </w:t>
      </w:r>
      <w:r>
        <w:t>–</w:t>
      </w:r>
      <w:r w:rsidRPr="00E52AD0">
        <w:t xml:space="preserve"> 6425</w:t>
      </w:r>
      <w:r>
        <w:t xml:space="preserve"> </w:t>
      </w:r>
      <w:r w:rsidRPr="00E52AD0">
        <w:t>MHz</w:t>
      </w:r>
      <w:r>
        <w:t>;</w:t>
      </w:r>
    </w:p>
    <w:p w14:paraId="0163D4D7" w14:textId="298F86A5" w:rsidR="000B3D54" w:rsidRDefault="000B3D54" w:rsidP="000B3D54">
      <w:pPr>
        <w:pStyle w:val="B1"/>
      </w:pPr>
      <w:r>
        <w:t>-</w:t>
      </w:r>
      <w:r>
        <w:tab/>
        <w:t xml:space="preserve">South Korea: Both LPI and VLP modes are allowed in </w:t>
      </w:r>
      <w:r w:rsidRPr="00E52AD0">
        <w:t>59</w:t>
      </w:r>
      <w:r w:rsidR="00EC0E96">
        <w:t>2</w:t>
      </w:r>
      <w:r w:rsidRPr="00E52AD0">
        <w:t xml:space="preserve">5 </w:t>
      </w:r>
      <w:r>
        <w:t>–</w:t>
      </w:r>
      <w:r w:rsidRPr="00E52AD0">
        <w:t xml:space="preserve"> 6425</w:t>
      </w:r>
      <w:r>
        <w:t xml:space="preserve"> </w:t>
      </w:r>
      <w:r w:rsidRPr="00E52AD0">
        <w:t>MHz</w:t>
      </w:r>
      <w:r>
        <w:t>;</w:t>
      </w:r>
    </w:p>
    <w:p w14:paraId="6DE8F559" w14:textId="5999EEB6" w:rsidR="000B3D54" w:rsidRDefault="000B3D54" w:rsidP="000B3D54">
      <w:pPr>
        <w:pStyle w:val="B1"/>
      </w:pPr>
      <w:r>
        <w:t>-</w:t>
      </w:r>
      <w:r>
        <w:tab/>
        <w:t xml:space="preserve">Brazil: Both LPI and VLP modes are allowed in </w:t>
      </w:r>
      <w:r w:rsidRPr="00E52AD0">
        <w:t>59</w:t>
      </w:r>
      <w:r w:rsidR="00EC0E96">
        <w:t>2</w:t>
      </w:r>
      <w:r w:rsidRPr="00E52AD0">
        <w:t xml:space="preserve">5 </w:t>
      </w:r>
      <w:r>
        <w:t>–</w:t>
      </w:r>
      <w:r w:rsidRPr="00E52AD0">
        <w:t xml:space="preserve"> </w:t>
      </w:r>
      <w:r>
        <w:t xml:space="preserve">7125 </w:t>
      </w:r>
      <w:r w:rsidRPr="00E52AD0">
        <w:t>MHz</w:t>
      </w:r>
      <w:r>
        <w:t>;</w:t>
      </w:r>
    </w:p>
    <w:p w14:paraId="01678EEB" w14:textId="301AE420" w:rsidR="00C8386E" w:rsidRDefault="00C8386E" w:rsidP="000B3D54">
      <w:pPr>
        <w:pStyle w:val="B1"/>
      </w:pPr>
      <w:r>
        <w:t>-</w:t>
      </w:r>
      <w:r>
        <w:tab/>
        <w:t xml:space="preserve">Canada: Both LPI and VLP modes are allowed in </w:t>
      </w:r>
      <w:r w:rsidRPr="00E52AD0">
        <w:t>59</w:t>
      </w:r>
      <w:r>
        <w:t>2</w:t>
      </w:r>
      <w:r w:rsidRPr="00E52AD0">
        <w:t xml:space="preserve">5 </w:t>
      </w:r>
      <w:r>
        <w:t>–</w:t>
      </w:r>
      <w:r w:rsidRPr="00E52AD0">
        <w:t xml:space="preserve"> </w:t>
      </w:r>
      <w:r>
        <w:t xml:space="preserve">7125 </w:t>
      </w:r>
      <w:r w:rsidRPr="00E52AD0">
        <w:t>MHz</w:t>
      </w:r>
      <w:r>
        <w:t>;</w:t>
      </w:r>
    </w:p>
    <w:p w14:paraId="7228DA19" w14:textId="78F3C560" w:rsidR="00E72324" w:rsidRDefault="002E69AD" w:rsidP="00E72324">
      <w:r>
        <w:t>And even though actual technical parameters slightly vary from region to region</w:t>
      </w:r>
      <w:r w:rsidR="000B3D54">
        <w:t xml:space="preserve"> (see Annex A)</w:t>
      </w:r>
      <w:r>
        <w:t>, the main principles are the same</w:t>
      </w:r>
      <w:r w:rsidR="000B3D54">
        <w:t>:</w:t>
      </w:r>
      <w:r>
        <w:t xml:space="preserve"> </w:t>
      </w:r>
      <w:r w:rsidR="000B3D54">
        <w:t>a</w:t>
      </w:r>
      <w:r>
        <w:t xml:space="preserve"> device operating outdoors shall not exceed the maximum EIRP and PSD limits, which </w:t>
      </w:r>
      <w:r w:rsidR="00C8386E">
        <w:t>become much</w:t>
      </w:r>
      <w:r>
        <w:t xml:space="preserve"> more stringent </w:t>
      </w:r>
      <w:r w:rsidR="00C8386E">
        <w:t>once a device ends up to the outdoor environment</w:t>
      </w:r>
      <w:r>
        <w:t>.</w:t>
      </w:r>
      <w:r w:rsidR="00E72324" w:rsidRPr="00E72324">
        <w:t xml:space="preserve"> </w:t>
      </w:r>
      <w:r w:rsidR="000B3D54">
        <w:t>Referring to the UK Ofcom regulatory document as an example, it is clearly stated that "</w:t>
      </w:r>
      <w:r w:rsidR="000B3D54" w:rsidRPr="000B3D54">
        <w:rPr>
          <w:i/>
          <w:iCs/>
        </w:rPr>
        <w:t>The Low Power Indoor apparatus may only be used within a building, onboard an aircraft or in any other enclosed space with attenuation characteristics at least as strong as those of either a building or an aircraft</w:t>
      </w:r>
      <w:r w:rsidR="000B3D54">
        <w:t>".</w:t>
      </w:r>
    </w:p>
    <w:p w14:paraId="5451A060" w14:textId="57C6FA0D" w:rsidR="000B3D54" w:rsidRPr="000B3D54" w:rsidRDefault="000B3D54" w:rsidP="000B3D54">
      <w:pPr>
        <w:pStyle w:val="Observation"/>
      </w:pPr>
      <w:r w:rsidRPr="000B3D54">
        <w:lastRenderedPageBreak/>
        <w:t>Observation 1:</w:t>
      </w:r>
      <w:r w:rsidRPr="000B3D54">
        <w:tab/>
        <w:t>There are a number of countries that define LPI and VLP modes for the 6GHz band.</w:t>
      </w:r>
    </w:p>
    <w:p w14:paraId="0773A60F" w14:textId="4088F1E1" w:rsidR="000B3D54" w:rsidRDefault="000B3D54" w:rsidP="000B3D54">
      <w:pPr>
        <w:pStyle w:val="Observation"/>
      </w:pPr>
      <w:r w:rsidRPr="000B3D54">
        <w:t>Observation 2:</w:t>
      </w:r>
      <w:r w:rsidRPr="000B3D54">
        <w:tab/>
        <w:t xml:space="preserve">The regulatory requirements are quite strict on not allowing LPI outside buildings. </w:t>
      </w:r>
    </w:p>
    <w:p w14:paraId="60B41476" w14:textId="6CCF86D5" w:rsidR="00C8386E" w:rsidRPr="000B3D54" w:rsidRDefault="00C8386E" w:rsidP="000B3D54">
      <w:pPr>
        <w:pStyle w:val="Observation"/>
      </w:pPr>
      <w:r>
        <w:t>Observation 3:</w:t>
      </w:r>
      <w:r>
        <w:tab/>
        <w:t>The regulatory requirements do not differentiate between CLI and AP devices while restricting the LPI usage to in-door environments.</w:t>
      </w:r>
    </w:p>
    <w:p w14:paraId="75C0A050" w14:textId="77777777" w:rsidR="000B3D54" w:rsidRDefault="000B3D54" w:rsidP="00E72324"/>
    <w:p w14:paraId="48154E48" w14:textId="21314560" w:rsidR="008A3B4F" w:rsidRDefault="00C8386E" w:rsidP="00E72324">
      <w:r>
        <w:rPr>
          <w:noProof/>
        </w:rPr>
        <w:drawing>
          <wp:inline distT="0" distB="0" distL="0" distR="0" wp14:anchorId="7A3F2D91" wp14:editId="64C40EA2">
            <wp:extent cx="5653066" cy="213609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9">
                      <a:extLst>
                        <a:ext uri="{28A0092B-C50C-407E-A947-70E740481C1C}">
                          <a14:useLocalDpi xmlns:a14="http://schemas.microsoft.com/office/drawing/2010/main" val="0"/>
                        </a:ext>
                      </a:extLst>
                    </a:blip>
                    <a:stretch>
                      <a:fillRect/>
                    </a:stretch>
                  </pic:blipFill>
                  <pic:spPr>
                    <a:xfrm>
                      <a:off x="0" y="0"/>
                      <a:ext cx="5660383" cy="2138863"/>
                    </a:xfrm>
                    <a:prstGeom prst="rect">
                      <a:avLst/>
                    </a:prstGeom>
                  </pic:spPr>
                </pic:pic>
              </a:graphicData>
            </a:graphic>
          </wp:inline>
        </w:drawing>
      </w:r>
    </w:p>
    <w:p w14:paraId="295D335C" w14:textId="1CB5DC9A" w:rsidR="008A3B4F" w:rsidRPr="004D3578" w:rsidRDefault="008A3B4F" w:rsidP="008A3B4F">
      <w:pPr>
        <w:pStyle w:val="TF"/>
      </w:pPr>
      <w:r w:rsidRPr="004D3578">
        <w:t xml:space="preserve">Figure </w:t>
      </w:r>
      <w:r w:rsidR="00D36ED8">
        <w:t>2-</w:t>
      </w:r>
      <w:r w:rsidRPr="004D3578">
        <w:t xml:space="preserve">1: </w:t>
      </w:r>
      <w:r>
        <w:t xml:space="preserve">Overview of the 6GHz unlicensed band </w:t>
      </w:r>
      <w:r w:rsidR="00BD4EB5">
        <w:t>with LPI and VLP</w:t>
      </w:r>
      <w:r w:rsidR="002128C7">
        <w:t xml:space="preserve"> modes.</w:t>
      </w:r>
      <w:r w:rsidR="00BD4EB5">
        <w:t xml:space="preserve"> </w:t>
      </w:r>
    </w:p>
    <w:p w14:paraId="67AF902B" w14:textId="409314F3" w:rsidR="00185DAB" w:rsidRDefault="002E69AD" w:rsidP="00E72324">
      <w:r>
        <w:t>If there is a</w:t>
      </w:r>
      <w:r w:rsidR="00E52AD0">
        <w:t>n</w:t>
      </w:r>
      <w:r>
        <w:t xml:space="preserve"> NR-U base station deployed indoors, then it can follow the LPI regulatory parameters of the corresponding region and configure </w:t>
      </w:r>
      <w:r w:rsidR="00185DAB">
        <w:t xml:space="preserve">accordingly </w:t>
      </w:r>
      <w:r>
        <w:t>client devices, UEs, with a higher transmission power and PSD</w:t>
      </w:r>
      <w:r w:rsidR="00271191">
        <w:t xml:space="preserve">. </w:t>
      </w:r>
      <w:r>
        <w:t xml:space="preserve">However, even though the NR-U base station physically resides indoors, there can be an outdoor UE that still can detect and camp on this cell. </w:t>
      </w:r>
      <w:r w:rsidR="00E52AD0">
        <w:t xml:space="preserve">It should be noted that most regulatory requirements just indicate that the LPI access point must </w:t>
      </w:r>
      <w:r w:rsidR="00E52AD0" w:rsidRPr="00E52AD0">
        <w:t>be powered directly by the electric power network and battery power is not allowed.</w:t>
      </w:r>
      <w:r w:rsidR="00E52AD0">
        <w:t xml:space="preserve"> Not all regions/countries even state that the access point </w:t>
      </w:r>
      <w:r w:rsidR="00E52AD0" w:rsidRPr="00E52AD0">
        <w:t>physical structures cannot be protected against bad weather</w:t>
      </w:r>
      <w:r w:rsidR="00E52AD0">
        <w:t xml:space="preserve"> (for instance EU/CEPT rules do not have such a condition)</w:t>
      </w:r>
      <w:r w:rsidR="00E52AD0" w:rsidRPr="00E52AD0">
        <w:t>.</w:t>
      </w:r>
      <w:r w:rsidR="00E52AD0">
        <w:t xml:space="preserve"> Thus,</w:t>
      </w:r>
      <w:r>
        <w:t xml:space="preserve"> since th</w:t>
      </w:r>
      <w:r w:rsidR="00E52AD0">
        <w:t>e</w:t>
      </w:r>
      <w:r>
        <w:t xml:space="preserve"> indoor base station allows higher transmission power and PSD, the outdoor UE </w:t>
      </w:r>
      <w:r w:rsidR="00E52AD0">
        <w:t>can</w:t>
      </w:r>
      <w:r>
        <w:t xml:space="preserve"> effectively violate the regulatory requirements</w:t>
      </w:r>
      <w:r w:rsidR="00E52AD0">
        <w:t xml:space="preserve"> when it starts transmitting at the maximum transmission power allowed for the indoor operation</w:t>
      </w:r>
      <w:r>
        <w:t xml:space="preserve">. </w:t>
      </w:r>
      <w:r w:rsidR="00185DAB">
        <w:t>This situation is depicted in Figure 2-</w:t>
      </w:r>
      <w:r w:rsidR="002128C7">
        <w:t>2</w:t>
      </w:r>
      <w:r w:rsidR="00185DAB">
        <w:t xml:space="preserve"> that shows an outdoor UE connecting to the indoor base station. Of course, if a particular UE supports only the VLP mode, then it will always meet the requirements. However, as there can be UEs supporting both VLP and LPI transmission power, then the LPI device can end up in the aforementioned situation potentially failing the regulatory requirements.</w:t>
      </w:r>
    </w:p>
    <w:p w14:paraId="659774EF" w14:textId="6365F753" w:rsidR="000B3D54" w:rsidRDefault="000B3D54" w:rsidP="000B3D54">
      <w:pPr>
        <w:pStyle w:val="Observation"/>
      </w:pPr>
      <w:r>
        <w:t>Observation 3:</w:t>
      </w:r>
      <w:r>
        <w:tab/>
        <w:t>An outdoor UE may camp on the indoor NR-U cell thus violating the regulatory requirements</w:t>
      </w:r>
      <w:r w:rsidR="00C8386E">
        <w:t xml:space="preserve"> if the NR-U cell allows/configures higher transmission power in accordance with the LPI mode</w:t>
      </w:r>
      <w:r>
        <w:t xml:space="preserve">. </w:t>
      </w:r>
    </w:p>
    <w:p w14:paraId="01CABB5D" w14:textId="77777777" w:rsidR="000B3D54" w:rsidRDefault="000B3D54" w:rsidP="000B3D54"/>
    <w:p w14:paraId="48F41B4B" w14:textId="5DC39885" w:rsidR="00185DAB" w:rsidRDefault="00185DAB" w:rsidP="00185DAB">
      <w:pPr>
        <w:jc w:val="center"/>
      </w:pPr>
      <w:r>
        <w:rPr>
          <w:noProof/>
        </w:rPr>
        <w:drawing>
          <wp:inline distT="0" distB="0" distL="0" distR="0" wp14:anchorId="768CB29F" wp14:editId="5C24773D">
            <wp:extent cx="3572933" cy="15646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599144" cy="1576142"/>
                    </a:xfrm>
                    <a:prstGeom prst="rect">
                      <a:avLst/>
                    </a:prstGeom>
                  </pic:spPr>
                </pic:pic>
              </a:graphicData>
            </a:graphic>
          </wp:inline>
        </w:drawing>
      </w:r>
    </w:p>
    <w:p w14:paraId="5FF469EC" w14:textId="3B79C9C6" w:rsidR="00271191" w:rsidRDefault="00185DAB" w:rsidP="00712778">
      <w:pPr>
        <w:pStyle w:val="TF"/>
      </w:pPr>
      <w:r>
        <w:t xml:space="preserve"> </w:t>
      </w:r>
      <w:r w:rsidR="002E69AD">
        <w:t xml:space="preserve"> </w:t>
      </w:r>
      <w:r w:rsidR="00712778">
        <w:t>Figure 2-</w:t>
      </w:r>
      <w:r w:rsidR="002128C7">
        <w:t>2</w:t>
      </w:r>
      <w:r w:rsidR="00712778">
        <w:t>: Several deployment scenarios with LPI and VLP.</w:t>
      </w:r>
    </w:p>
    <w:p w14:paraId="453A5862" w14:textId="28E3D9F8" w:rsidR="00A44C11" w:rsidRDefault="00EA3E16" w:rsidP="00E72324">
      <w:r>
        <w:t xml:space="preserve">It is also worth noting that some countries, such as Chile and Peru, do not allow the VLP mode at all. So once a UE ends up to the outdoor environment, it should stop any transmission on the 6GHz band. And in some countries, such as South Korea, the same will happen for the frequency range of 6.425-7.125GHz, in which only LPI is allowed. </w:t>
      </w:r>
    </w:p>
    <w:p w14:paraId="482DD603" w14:textId="06BD9359" w:rsidR="00E8775A" w:rsidRDefault="00E8775A" w:rsidP="00E8775A">
      <w:pPr>
        <w:pStyle w:val="Observation"/>
      </w:pPr>
      <w:r>
        <w:lastRenderedPageBreak/>
        <w:t>Observation 4:</w:t>
      </w:r>
      <w:r>
        <w:tab/>
        <w:t>In some countries and/or 6GHz frequency sub-ranges no transmission is allowed if a device is not indoors.</w:t>
      </w:r>
    </w:p>
    <w:p w14:paraId="3A164361" w14:textId="00D43DB9" w:rsidR="00C3593C" w:rsidRDefault="000C3BA2" w:rsidP="00E72324">
      <w:r>
        <w:t xml:space="preserve">Our </w:t>
      </w:r>
      <w:r w:rsidR="00E52AD0">
        <w:t xml:space="preserve">general </w:t>
      </w:r>
      <w:r>
        <w:t xml:space="preserve">anticipation is that NR-U deployments on the 6GHz band will consider LPI transmission power, at least for the indoor deployment. </w:t>
      </w:r>
      <w:r w:rsidR="00222DF2">
        <w:t xml:space="preserve">However, since it is impossible to prevent outdoor UEs from connecting to </w:t>
      </w:r>
      <w:r w:rsidR="0080654E">
        <w:t>the LPI</w:t>
      </w:r>
      <w:r w:rsidR="00222DF2">
        <w:t xml:space="preserve"> base station</w:t>
      </w:r>
      <w:r w:rsidR="0080654E">
        <w:t>s</w:t>
      </w:r>
      <w:r w:rsidR="00222DF2">
        <w:t xml:space="preserve">, we ask RAN WG4 to consider this issue. </w:t>
      </w:r>
      <w:r w:rsidR="00E8775A">
        <w:t xml:space="preserve">During the last RAN4#99 meeting a number of companies expressed an interest in looking into this scenario and thus we ask RAN WG4 to consider it further. </w:t>
      </w:r>
    </w:p>
    <w:p w14:paraId="77ADBB70" w14:textId="0EEF6A14" w:rsidR="008A3B4F" w:rsidRDefault="00271191" w:rsidP="00271191">
      <w:pPr>
        <w:pStyle w:val="Proposal"/>
      </w:pPr>
      <w:bookmarkStart w:id="1" w:name="_Toc61304321"/>
      <w:bookmarkStart w:id="2" w:name="_Toc61304343"/>
      <w:bookmarkStart w:id="3" w:name="_Toc61460060"/>
      <w:bookmarkStart w:id="4" w:name="_Toc68170507"/>
      <w:bookmarkStart w:id="5" w:name="_Toc68263497"/>
      <w:bookmarkStart w:id="6" w:name="_Toc71543052"/>
      <w:bookmarkStart w:id="7" w:name="_Toc79182382"/>
      <w:bookmarkStart w:id="8" w:name="_Toc79182678"/>
      <w:r>
        <w:t>Proposal</w:t>
      </w:r>
      <w:r w:rsidR="00572198">
        <w:t xml:space="preserve"> 1</w:t>
      </w:r>
      <w:r>
        <w:t>:</w:t>
      </w:r>
      <w:r>
        <w:tab/>
      </w:r>
      <w:r w:rsidR="00712778">
        <w:t xml:space="preserve">We ask RAN WG4 to consider a scenario when an </w:t>
      </w:r>
      <w:r w:rsidR="00712778" w:rsidRPr="000B3D54">
        <w:rPr>
          <w:i/>
          <w:iCs/>
        </w:rPr>
        <w:t>outdoor</w:t>
      </w:r>
      <w:r w:rsidR="00712778">
        <w:t xml:space="preserve"> UE is connected to the </w:t>
      </w:r>
      <w:r w:rsidR="00712778" w:rsidRPr="000B3D54">
        <w:rPr>
          <w:i/>
          <w:iCs/>
        </w:rPr>
        <w:t>indoor</w:t>
      </w:r>
      <w:r w:rsidR="00712778">
        <w:t xml:space="preserve"> LPI base station </w:t>
      </w:r>
      <w:r w:rsidR="00A44C11">
        <w:t xml:space="preserve">in order </w:t>
      </w:r>
      <w:r w:rsidR="00712778">
        <w:t>to ensure that no regulatory requirements are violated</w:t>
      </w:r>
      <w:r w:rsidR="00A44C11">
        <w:t xml:space="preserve"> in this case</w:t>
      </w:r>
      <w:r>
        <w:t>.</w:t>
      </w:r>
      <w:bookmarkEnd w:id="1"/>
      <w:bookmarkEnd w:id="2"/>
      <w:bookmarkEnd w:id="3"/>
      <w:bookmarkEnd w:id="4"/>
      <w:bookmarkEnd w:id="5"/>
      <w:bookmarkEnd w:id="6"/>
      <w:bookmarkEnd w:id="7"/>
      <w:bookmarkEnd w:id="8"/>
      <w:r>
        <w:t xml:space="preserve"> </w:t>
      </w:r>
      <w:r w:rsidR="00276891">
        <w:t xml:space="preserve"> </w:t>
      </w:r>
      <w:r w:rsidR="0011527E">
        <w:t xml:space="preserve"> </w:t>
      </w:r>
    </w:p>
    <w:p w14:paraId="0EAE3B44" w14:textId="77777777" w:rsidR="00572198" w:rsidRDefault="00572198" w:rsidP="00776D5C"/>
    <w:p w14:paraId="4195CD19" w14:textId="0C360017" w:rsidR="00E8775A" w:rsidRDefault="00E8775A" w:rsidP="00776D5C">
      <w:r>
        <w:t>Among possible solutions for this problem, the following general approaches can be considered:</w:t>
      </w:r>
    </w:p>
    <w:p w14:paraId="1515DEFA" w14:textId="655C6EA4" w:rsidR="00E8775A" w:rsidRDefault="00E8775A" w:rsidP="00E8775A">
      <w:pPr>
        <w:pStyle w:val="B1"/>
      </w:pPr>
      <w:r>
        <w:t>a)</w:t>
      </w:r>
      <w:r>
        <w:tab/>
        <w:t>NW controlled, configure only DL SCell(s). If a UE is configured only with DL SCell(s), then it will not transmit on NR-U thus not having any risk of violating requirements irrespective of the fact whether it is indoor or outdoor. This approach can be suitable for countries or frequency ranges when even VLP is not allowed outdoors. However, it is obvious that it will limit use case when some form of UL data offloading is envisioned.</w:t>
      </w:r>
    </w:p>
    <w:p w14:paraId="6B657215" w14:textId="431E488C" w:rsidR="00E8775A" w:rsidRDefault="00E8775A" w:rsidP="00E8775A">
      <w:pPr>
        <w:pStyle w:val="B1"/>
      </w:pPr>
      <w:r>
        <w:t>b)</w:t>
      </w:r>
      <w:r>
        <w:tab/>
        <w:t>NW controlled, enable only VLP. For those countries where the VLP mode is defined, one potential solution could be to restrict UE UL transmission to the power levels allowed by the VLP requirements. In this way a UE will be compliant to the regulatory limits irrespective of its physical location. The obvious downside of this approach is that indoor deployments will not be able to use the full potential of UL transmission.</w:t>
      </w:r>
    </w:p>
    <w:p w14:paraId="7FFCE202" w14:textId="2AAFA6ED" w:rsidR="00776D5C" w:rsidRDefault="00E8775A" w:rsidP="00E8775A">
      <w:pPr>
        <w:pStyle w:val="B1"/>
      </w:pPr>
      <w:r>
        <w:t>c)</w:t>
      </w:r>
      <w:r>
        <w:tab/>
        <w:t xml:space="preserve">UE controlled. This approach is similar to a) and b), but performed by the UE side. If a UE detects outdoor environment, it is allowed to restrict its maximum UL transmission power </w:t>
      </w:r>
      <w:r w:rsidR="002E7985">
        <w:t>like</w:t>
      </w:r>
      <w:r>
        <w:t xml:space="preserve"> </w:t>
      </w:r>
      <w:r w:rsidR="002E7985">
        <w:t xml:space="preserve">with </w:t>
      </w:r>
      <w:r>
        <w:t xml:space="preserve">the existing UE behaviour when SAR and MPE requirements </w:t>
      </w:r>
      <w:r w:rsidR="002E7985">
        <w:t>have to be</w:t>
      </w:r>
      <w:r>
        <w:t xml:space="preserve"> met.    </w:t>
      </w:r>
    </w:p>
    <w:p w14:paraId="2A6293C6" w14:textId="77777777" w:rsidR="00572198" w:rsidRDefault="00572198" w:rsidP="008E7986"/>
    <w:p w14:paraId="62E2E073" w14:textId="282ACB48" w:rsidR="008E7986" w:rsidRDefault="00572198" w:rsidP="00572198">
      <w:pPr>
        <w:pStyle w:val="Proposal"/>
      </w:pPr>
      <w:bookmarkStart w:id="9" w:name="_Toc79182383"/>
      <w:bookmarkStart w:id="10" w:name="_Toc79182679"/>
      <w:r>
        <w:t xml:space="preserve">Proposal </w:t>
      </w:r>
      <w:r>
        <w:t>2</w:t>
      </w:r>
      <w:r>
        <w:t>:</w:t>
      </w:r>
      <w:r>
        <w:tab/>
        <w:t xml:space="preserve">We ask RAN WG4 to consider </w:t>
      </w:r>
      <w:r>
        <w:t xml:space="preserve">further NW and UE controlled approaches </w:t>
      </w:r>
      <w:r w:rsidR="00386C99">
        <w:t>to ensure</w:t>
      </w:r>
      <w:r>
        <w:t xml:space="preserve"> that a UE UL transmission is compliant to the local regulations</w:t>
      </w:r>
      <w:r>
        <w:t>.</w:t>
      </w:r>
      <w:bookmarkEnd w:id="9"/>
      <w:bookmarkEnd w:id="10"/>
    </w:p>
    <w:p w14:paraId="6C40BF09" w14:textId="0AEDBA87" w:rsidR="00C3593C" w:rsidRDefault="00C3593C" w:rsidP="008E7986"/>
    <w:p w14:paraId="5D198311" w14:textId="77777777" w:rsidR="00C3593C" w:rsidRDefault="00C3593C" w:rsidP="008E7986"/>
    <w:p w14:paraId="34C99636" w14:textId="77777777" w:rsidR="008E7986" w:rsidRDefault="008E7986" w:rsidP="008E7986">
      <w:pPr>
        <w:pStyle w:val="Heading1"/>
      </w:pPr>
      <w:r>
        <w:t>3</w:t>
      </w:r>
      <w:r>
        <w:tab/>
        <w:t>Conclusions</w:t>
      </w:r>
    </w:p>
    <w:p w14:paraId="358695E8" w14:textId="57E017FD" w:rsidR="00F55949" w:rsidRDefault="00760E53" w:rsidP="00E72324">
      <w:r>
        <w:t xml:space="preserve">In this discussion paper we have presented </w:t>
      </w:r>
      <w:r w:rsidR="005A27D7">
        <w:t>a scenario with the indoor NR-U deployment that configures higher transmission power that is allowed in several regulatory regions</w:t>
      </w:r>
      <w:r>
        <w:t>.</w:t>
      </w:r>
      <w:r w:rsidR="005A27D7">
        <w:t xml:space="preserve"> However, since there can be an outdoor UE connecting </w:t>
      </w:r>
      <w:r w:rsidR="00DF4D96">
        <w:t xml:space="preserve">to </w:t>
      </w:r>
      <w:r w:rsidR="005A27D7">
        <w:t>this indoor cell, the former will violate the regulatory requirements.</w:t>
      </w:r>
    </w:p>
    <w:p w14:paraId="166E31ED" w14:textId="77777777" w:rsidR="00386C99" w:rsidRDefault="0062595A">
      <w:pPr>
        <w:pStyle w:val="TOC1"/>
        <w:rPr>
          <w:rFonts w:asciiTheme="minorHAnsi" w:eastAsiaTheme="minorEastAsia" w:hAnsiTheme="minorHAnsi" w:cstheme="minorBidi"/>
          <w:b w:val="0"/>
          <w:bCs w:val="0"/>
          <w:noProof/>
          <w:sz w:val="24"/>
          <w:szCs w:val="24"/>
          <w:lang w:val="en-DE" w:eastAsia="ko-KR"/>
        </w:rPr>
      </w:pPr>
      <w:r>
        <w:rPr>
          <w:b w:val="0"/>
          <w:bCs w:val="0"/>
        </w:rPr>
        <w:fldChar w:fldCharType="begin"/>
      </w:r>
      <w:r>
        <w:rPr>
          <w:b w:val="0"/>
          <w:bCs w:val="0"/>
        </w:rPr>
        <w:instrText xml:space="preserve"> TOC \n \t "Proposal,1" </w:instrText>
      </w:r>
      <w:r>
        <w:rPr>
          <w:b w:val="0"/>
          <w:bCs w:val="0"/>
        </w:rPr>
        <w:fldChar w:fldCharType="separate"/>
      </w:r>
      <w:r w:rsidR="00386C99">
        <w:rPr>
          <w:noProof/>
        </w:rPr>
        <w:t>Proposal 1:</w:t>
      </w:r>
      <w:r w:rsidR="00386C99">
        <w:rPr>
          <w:rFonts w:asciiTheme="minorHAnsi" w:eastAsiaTheme="minorEastAsia" w:hAnsiTheme="minorHAnsi" w:cstheme="minorBidi"/>
          <w:b w:val="0"/>
          <w:bCs w:val="0"/>
          <w:noProof/>
          <w:sz w:val="24"/>
          <w:szCs w:val="24"/>
          <w:lang w:val="en-DE" w:eastAsia="ko-KR"/>
        </w:rPr>
        <w:tab/>
      </w:r>
      <w:r w:rsidR="00386C99">
        <w:rPr>
          <w:noProof/>
        </w:rPr>
        <w:t xml:space="preserve">We ask RAN WG4 to consider a scenario when an </w:t>
      </w:r>
      <w:r w:rsidR="00386C99" w:rsidRPr="00BE2195">
        <w:rPr>
          <w:i/>
          <w:iCs/>
          <w:noProof/>
        </w:rPr>
        <w:t>outdoor</w:t>
      </w:r>
      <w:r w:rsidR="00386C99">
        <w:rPr>
          <w:noProof/>
        </w:rPr>
        <w:t xml:space="preserve"> UE is connected to the </w:t>
      </w:r>
      <w:r w:rsidR="00386C99" w:rsidRPr="00BE2195">
        <w:rPr>
          <w:i/>
          <w:iCs/>
          <w:noProof/>
        </w:rPr>
        <w:t>indoor</w:t>
      </w:r>
      <w:r w:rsidR="00386C99">
        <w:rPr>
          <w:noProof/>
        </w:rPr>
        <w:t xml:space="preserve"> LPI base station in order to ensure that no regulatory requirements are violated in this case.</w:t>
      </w:r>
    </w:p>
    <w:p w14:paraId="1C7DFC55" w14:textId="77777777" w:rsidR="00386C99" w:rsidRDefault="00386C99">
      <w:pPr>
        <w:pStyle w:val="TOC1"/>
        <w:rPr>
          <w:rFonts w:asciiTheme="minorHAnsi" w:eastAsiaTheme="minorEastAsia" w:hAnsiTheme="minorHAnsi" w:cstheme="minorBidi"/>
          <w:b w:val="0"/>
          <w:bCs w:val="0"/>
          <w:noProof/>
          <w:sz w:val="24"/>
          <w:szCs w:val="24"/>
          <w:lang w:val="en-DE" w:eastAsia="ko-KR"/>
        </w:rPr>
      </w:pPr>
      <w:r>
        <w:rPr>
          <w:noProof/>
        </w:rPr>
        <w:t>Proposal 2:</w:t>
      </w:r>
      <w:r>
        <w:rPr>
          <w:rFonts w:asciiTheme="minorHAnsi" w:eastAsiaTheme="minorEastAsia" w:hAnsiTheme="minorHAnsi" w:cstheme="minorBidi"/>
          <w:b w:val="0"/>
          <w:bCs w:val="0"/>
          <w:noProof/>
          <w:sz w:val="24"/>
          <w:szCs w:val="24"/>
          <w:lang w:val="en-DE" w:eastAsia="ko-KR"/>
        </w:rPr>
        <w:tab/>
      </w:r>
      <w:r>
        <w:rPr>
          <w:noProof/>
        </w:rPr>
        <w:t>We ask RAN WG4 to consider further NW and UE controlled approaches to ensure that a UE UL transmission is compliant to the local regulations.</w:t>
      </w:r>
    </w:p>
    <w:p w14:paraId="6345BAB3" w14:textId="28461B4D" w:rsidR="00C3593C" w:rsidRPr="00572198" w:rsidRDefault="0062595A" w:rsidP="00D94A4B">
      <w:pPr>
        <w:rPr>
          <w:b/>
          <w:bCs/>
        </w:rPr>
      </w:pPr>
      <w:r>
        <w:rPr>
          <w:b/>
          <w:bCs/>
        </w:rPr>
        <w:fldChar w:fldCharType="end"/>
      </w:r>
    </w:p>
    <w:p w14:paraId="4D133CD8" w14:textId="541D4B72" w:rsidR="00276EE4" w:rsidRPr="003A0483" w:rsidRDefault="00C7303B" w:rsidP="00C27E2F">
      <w:pPr>
        <w:pStyle w:val="Heading1"/>
      </w:pPr>
      <w:r>
        <w:t>4</w:t>
      </w:r>
      <w:r w:rsidR="005E69AE">
        <w:tab/>
        <w:t>References</w:t>
      </w:r>
    </w:p>
    <w:p w14:paraId="02656AEC" w14:textId="4AE3597E" w:rsidR="005E69AE" w:rsidRPr="004D3578" w:rsidRDefault="00C27E2F" w:rsidP="00276EE4">
      <w:pPr>
        <w:pStyle w:val="EX"/>
      </w:pPr>
      <w:bookmarkStart w:id="11" w:name="_Ref61300565"/>
      <w:r w:rsidRPr="00C27E2F">
        <w:t>RP-1912926, "WID on NR-based Access to Unlicensed Spectrum ", Qualcomm Inc.</w:t>
      </w:r>
      <w:bookmarkEnd w:id="11"/>
    </w:p>
    <w:p w14:paraId="731905A1" w14:textId="4F58A6FE" w:rsidR="005E69AE" w:rsidRDefault="00D94A4B" w:rsidP="005E69AE">
      <w:pPr>
        <w:pStyle w:val="EX"/>
      </w:pPr>
      <w:bookmarkStart w:id="12" w:name="_Ref61460191"/>
      <w:r>
        <w:t>3GPP TR 37.890, "</w:t>
      </w:r>
      <w:r w:rsidRPr="00D94A4B">
        <w:t>Feasibility Study on 6 GHz for LTE and NR in Licensed and Unlicensed Operations</w:t>
      </w:r>
      <w:r>
        <w:t>", v0.10.0</w:t>
      </w:r>
      <w:bookmarkEnd w:id="12"/>
    </w:p>
    <w:p w14:paraId="170B3485" w14:textId="175AAA7B" w:rsidR="00D94A4B" w:rsidRPr="004D3578" w:rsidRDefault="00760E53" w:rsidP="005E69AE">
      <w:pPr>
        <w:pStyle w:val="EX"/>
      </w:pPr>
      <w:bookmarkStart w:id="13" w:name="_Ref61460200"/>
      <w:r w:rsidRPr="00760E53">
        <w:t>RP‐202592</w:t>
      </w:r>
      <w:r>
        <w:t>, "</w:t>
      </w:r>
      <w:r w:rsidRPr="00760E53">
        <w:t>WID on introduction of lower 6GHz NR unlicensed operation for Europe</w:t>
      </w:r>
      <w:r>
        <w:t>", Nokia, Nokia Shanghai Bell</w:t>
      </w:r>
      <w:bookmarkEnd w:id="13"/>
    </w:p>
    <w:bookmarkEnd w:id="0"/>
    <w:p w14:paraId="2C7BC95E" w14:textId="572BD903" w:rsidR="00E52AD0" w:rsidRDefault="00E52AD0">
      <w:pPr>
        <w:spacing w:after="0"/>
      </w:pPr>
      <w:r>
        <w:br w:type="page"/>
      </w:r>
    </w:p>
    <w:p w14:paraId="483123CD" w14:textId="5DE94F78" w:rsidR="00080512" w:rsidRDefault="00E52AD0" w:rsidP="00E52AD0">
      <w:pPr>
        <w:pStyle w:val="Heading8"/>
      </w:pPr>
      <w:r>
        <w:lastRenderedPageBreak/>
        <w:t>Annex A: Summary of the 6GHz band regulatory parameters</w:t>
      </w:r>
    </w:p>
    <w:p w14:paraId="1DC7EC7A" w14:textId="77777777" w:rsidR="00C8386E" w:rsidRDefault="00C8386E" w:rsidP="00C8386E"/>
    <w:tbl>
      <w:tblPr>
        <w:tblStyle w:val="TableGrid"/>
        <w:tblW w:w="10905" w:type="dxa"/>
        <w:tblInd w:w="-365" w:type="dxa"/>
        <w:tblLook w:val="04A0" w:firstRow="1" w:lastRow="0" w:firstColumn="1" w:lastColumn="0" w:noHBand="0" w:noVBand="1"/>
      </w:tblPr>
      <w:tblGrid>
        <w:gridCol w:w="985"/>
        <w:gridCol w:w="1643"/>
        <w:gridCol w:w="1370"/>
        <w:gridCol w:w="1611"/>
        <w:gridCol w:w="1522"/>
        <w:gridCol w:w="1789"/>
        <w:gridCol w:w="1985"/>
      </w:tblGrid>
      <w:tr w:rsidR="00C8386E" w14:paraId="40668BD4" w14:textId="77777777" w:rsidTr="000C07D3">
        <w:tc>
          <w:tcPr>
            <w:tcW w:w="985" w:type="dxa"/>
          </w:tcPr>
          <w:p w14:paraId="19C7C609" w14:textId="77777777" w:rsidR="00C8386E" w:rsidRDefault="00C8386E" w:rsidP="000C07D3">
            <w:pPr>
              <w:pStyle w:val="TAH"/>
            </w:pPr>
            <w:r>
              <w:t>Region</w:t>
            </w:r>
          </w:p>
        </w:tc>
        <w:tc>
          <w:tcPr>
            <w:tcW w:w="1643" w:type="dxa"/>
          </w:tcPr>
          <w:p w14:paraId="20050636" w14:textId="77777777" w:rsidR="00C8386E" w:rsidRDefault="00C8386E" w:rsidP="000C07D3">
            <w:pPr>
              <w:pStyle w:val="TAH"/>
            </w:pPr>
            <w:r>
              <w:t>Country</w:t>
            </w:r>
          </w:p>
        </w:tc>
        <w:tc>
          <w:tcPr>
            <w:tcW w:w="1370" w:type="dxa"/>
          </w:tcPr>
          <w:p w14:paraId="7BCC0F45" w14:textId="77777777" w:rsidR="00C8386E" w:rsidRDefault="00C8386E" w:rsidP="000C07D3">
            <w:pPr>
              <w:pStyle w:val="TAH"/>
            </w:pPr>
            <w:r>
              <w:t>Permissible operation</w:t>
            </w:r>
          </w:p>
          <w:p w14:paraId="5E72B91C" w14:textId="77777777" w:rsidR="00C8386E" w:rsidRDefault="00C8386E" w:rsidP="000C07D3">
            <w:pPr>
              <w:pStyle w:val="TAH"/>
            </w:pPr>
            <w:r>
              <w:t>(Note 1)</w:t>
            </w:r>
          </w:p>
        </w:tc>
        <w:tc>
          <w:tcPr>
            <w:tcW w:w="1611" w:type="dxa"/>
          </w:tcPr>
          <w:p w14:paraId="72344880" w14:textId="77777777" w:rsidR="00C8386E" w:rsidRDefault="00C8386E" w:rsidP="000C07D3">
            <w:pPr>
              <w:pStyle w:val="TAH"/>
            </w:pPr>
            <w:r>
              <w:t>Frequency range</w:t>
            </w:r>
          </w:p>
        </w:tc>
        <w:tc>
          <w:tcPr>
            <w:tcW w:w="1522" w:type="dxa"/>
          </w:tcPr>
          <w:p w14:paraId="5ACE54D4" w14:textId="77777777" w:rsidR="00C8386E" w:rsidRDefault="00C8386E" w:rsidP="000C07D3">
            <w:pPr>
              <w:pStyle w:val="TAH"/>
            </w:pPr>
            <w:r w:rsidRPr="00A930D3">
              <w:t>Maximum mean EIRP for in-band emissions</w:t>
            </w:r>
          </w:p>
        </w:tc>
        <w:tc>
          <w:tcPr>
            <w:tcW w:w="1789" w:type="dxa"/>
          </w:tcPr>
          <w:p w14:paraId="38992C72" w14:textId="77777777" w:rsidR="00C8386E" w:rsidRDefault="00C8386E" w:rsidP="000C07D3">
            <w:pPr>
              <w:pStyle w:val="TAH"/>
            </w:pPr>
            <w:r w:rsidRPr="00A930D3">
              <w:t>Maximum mean EIRP density for in-band emissions</w:t>
            </w:r>
          </w:p>
        </w:tc>
        <w:tc>
          <w:tcPr>
            <w:tcW w:w="1985" w:type="dxa"/>
          </w:tcPr>
          <w:p w14:paraId="674AECAD" w14:textId="77777777" w:rsidR="00C8386E" w:rsidRDefault="00C8386E" w:rsidP="000C07D3">
            <w:pPr>
              <w:pStyle w:val="TAH"/>
            </w:pPr>
            <w:r w:rsidRPr="00A930D3">
              <w:t>Maximum mean EIRP density for out-of-band emissions</w:t>
            </w:r>
          </w:p>
        </w:tc>
      </w:tr>
      <w:tr w:rsidR="00C8386E" w14:paraId="6614169D" w14:textId="77777777" w:rsidTr="000C07D3">
        <w:tc>
          <w:tcPr>
            <w:tcW w:w="985" w:type="dxa"/>
            <w:vMerge w:val="restart"/>
            <w:vAlign w:val="center"/>
          </w:tcPr>
          <w:p w14:paraId="390F1BD5" w14:textId="77777777" w:rsidR="00C8386E" w:rsidRDefault="00C8386E" w:rsidP="000C07D3">
            <w:pPr>
              <w:pStyle w:val="TAC"/>
            </w:pPr>
            <w:r>
              <w:t>Region 1</w:t>
            </w:r>
          </w:p>
        </w:tc>
        <w:tc>
          <w:tcPr>
            <w:tcW w:w="1643" w:type="dxa"/>
            <w:vMerge w:val="restart"/>
            <w:vAlign w:val="center"/>
          </w:tcPr>
          <w:p w14:paraId="13AB8FBA" w14:textId="77777777" w:rsidR="00C8386E" w:rsidRDefault="00C8386E" w:rsidP="000C07D3">
            <w:pPr>
              <w:pStyle w:val="TAC"/>
            </w:pPr>
            <w:r>
              <w:t>EU/CEPT</w:t>
            </w:r>
          </w:p>
        </w:tc>
        <w:tc>
          <w:tcPr>
            <w:tcW w:w="1370" w:type="dxa"/>
            <w:vAlign w:val="center"/>
          </w:tcPr>
          <w:p w14:paraId="37B581C7" w14:textId="77777777" w:rsidR="00C8386E" w:rsidRDefault="00C8386E" w:rsidP="000C07D3">
            <w:pPr>
              <w:pStyle w:val="TAL"/>
            </w:pPr>
            <w:r>
              <w:t xml:space="preserve">LPI </w:t>
            </w:r>
          </w:p>
        </w:tc>
        <w:tc>
          <w:tcPr>
            <w:tcW w:w="1611" w:type="dxa"/>
            <w:vMerge w:val="restart"/>
            <w:vAlign w:val="center"/>
          </w:tcPr>
          <w:p w14:paraId="49407367" w14:textId="77777777" w:rsidR="00C8386E" w:rsidRPr="00A930D3" w:rsidRDefault="00C8386E" w:rsidP="000C07D3">
            <w:pPr>
              <w:pStyle w:val="TAC"/>
            </w:pPr>
            <w:r w:rsidRPr="00A930D3">
              <w:t>59</w:t>
            </w:r>
            <w:r>
              <w:t>4</w:t>
            </w:r>
            <w:r w:rsidRPr="00A930D3">
              <w:t xml:space="preserve">5 </w:t>
            </w:r>
            <w:r>
              <w:t>–</w:t>
            </w:r>
            <w:r w:rsidRPr="00A930D3">
              <w:t xml:space="preserve"> 6425MHz</w:t>
            </w:r>
          </w:p>
        </w:tc>
        <w:tc>
          <w:tcPr>
            <w:tcW w:w="1522" w:type="dxa"/>
            <w:vAlign w:val="center"/>
          </w:tcPr>
          <w:p w14:paraId="48981487" w14:textId="77777777" w:rsidR="00C8386E" w:rsidRDefault="00C8386E" w:rsidP="000C07D3">
            <w:pPr>
              <w:pStyle w:val="TAC"/>
            </w:pPr>
            <w:r>
              <w:t>23dBm</w:t>
            </w:r>
          </w:p>
        </w:tc>
        <w:tc>
          <w:tcPr>
            <w:tcW w:w="1789" w:type="dxa"/>
            <w:vAlign w:val="center"/>
          </w:tcPr>
          <w:p w14:paraId="0D585E48" w14:textId="77777777" w:rsidR="00C8386E" w:rsidRDefault="00C8386E" w:rsidP="000C07D3">
            <w:pPr>
              <w:pStyle w:val="TAC"/>
            </w:pPr>
            <w:r>
              <w:t>10dBm/MHz</w:t>
            </w:r>
          </w:p>
        </w:tc>
        <w:tc>
          <w:tcPr>
            <w:tcW w:w="1985" w:type="dxa"/>
            <w:vAlign w:val="center"/>
          </w:tcPr>
          <w:p w14:paraId="12259E77" w14:textId="77777777" w:rsidR="00C8386E" w:rsidRDefault="00C8386E" w:rsidP="000C07D3">
            <w:pPr>
              <w:pStyle w:val="TAC"/>
            </w:pPr>
            <w:r>
              <w:t xml:space="preserve">-22 dBm/MHz </w:t>
            </w:r>
          </w:p>
          <w:p w14:paraId="483CF872" w14:textId="77777777" w:rsidR="00C8386E" w:rsidRDefault="00C8386E" w:rsidP="000C07D3">
            <w:pPr>
              <w:pStyle w:val="TAC"/>
            </w:pPr>
            <w:r>
              <w:t>(below 5935MHz)</w:t>
            </w:r>
          </w:p>
        </w:tc>
      </w:tr>
      <w:tr w:rsidR="00C8386E" w14:paraId="71606553" w14:textId="77777777" w:rsidTr="000C07D3">
        <w:tc>
          <w:tcPr>
            <w:tcW w:w="985" w:type="dxa"/>
            <w:vMerge/>
          </w:tcPr>
          <w:p w14:paraId="2BB45FC6" w14:textId="77777777" w:rsidR="00C8386E" w:rsidRDefault="00C8386E" w:rsidP="000C07D3">
            <w:pPr>
              <w:pStyle w:val="TAC"/>
            </w:pPr>
          </w:p>
        </w:tc>
        <w:tc>
          <w:tcPr>
            <w:tcW w:w="1643" w:type="dxa"/>
            <w:vMerge/>
            <w:vAlign w:val="center"/>
          </w:tcPr>
          <w:p w14:paraId="41CB077F" w14:textId="77777777" w:rsidR="00C8386E" w:rsidRDefault="00C8386E" w:rsidP="000C07D3">
            <w:pPr>
              <w:pStyle w:val="TAC"/>
            </w:pPr>
          </w:p>
        </w:tc>
        <w:tc>
          <w:tcPr>
            <w:tcW w:w="1370" w:type="dxa"/>
            <w:vAlign w:val="center"/>
          </w:tcPr>
          <w:p w14:paraId="24EB6170" w14:textId="77777777" w:rsidR="00C8386E" w:rsidRDefault="00C8386E" w:rsidP="000C07D3">
            <w:pPr>
              <w:pStyle w:val="TAL"/>
            </w:pPr>
            <w:r>
              <w:t xml:space="preserve">VLP </w:t>
            </w:r>
          </w:p>
        </w:tc>
        <w:tc>
          <w:tcPr>
            <w:tcW w:w="1611" w:type="dxa"/>
            <w:vMerge/>
            <w:vAlign w:val="center"/>
          </w:tcPr>
          <w:p w14:paraId="7505D868" w14:textId="77777777" w:rsidR="00C8386E" w:rsidRPr="00A930D3" w:rsidRDefault="00C8386E" w:rsidP="000C07D3">
            <w:pPr>
              <w:pStyle w:val="TAC"/>
            </w:pPr>
          </w:p>
        </w:tc>
        <w:tc>
          <w:tcPr>
            <w:tcW w:w="1522" w:type="dxa"/>
            <w:vAlign w:val="center"/>
          </w:tcPr>
          <w:p w14:paraId="7C4BFBFF" w14:textId="77777777" w:rsidR="00C8386E" w:rsidRDefault="00C8386E" w:rsidP="000C07D3">
            <w:pPr>
              <w:pStyle w:val="TAC"/>
            </w:pPr>
            <w:r>
              <w:t>14dBm</w:t>
            </w:r>
          </w:p>
        </w:tc>
        <w:tc>
          <w:tcPr>
            <w:tcW w:w="1789" w:type="dxa"/>
            <w:vAlign w:val="center"/>
          </w:tcPr>
          <w:p w14:paraId="0A0F6D56" w14:textId="77777777" w:rsidR="00C8386E" w:rsidRDefault="00C8386E" w:rsidP="000C07D3">
            <w:pPr>
              <w:pStyle w:val="TAC"/>
            </w:pPr>
            <w:r>
              <w:t>1dBm/MHz</w:t>
            </w:r>
          </w:p>
          <w:p w14:paraId="0CE22DEC" w14:textId="77777777" w:rsidR="00C8386E" w:rsidRDefault="00C8386E" w:rsidP="000C07D3">
            <w:pPr>
              <w:pStyle w:val="TAC"/>
            </w:pPr>
            <w:r>
              <w:t>10dBm/MHz (for the narrowband usage)</w:t>
            </w:r>
          </w:p>
        </w:tc>
        <w:tc>
          <w:tcPr>
            <w:tcW w:w="1985" w:type="dxa"/>
            <w:vAlign w:val="center"/>
          </w:tcPr>
          <w:p w14:paraId="5C087A9E" w14:textId="77777777" w:rsidR="00C8386E" w:rsidRDefault="00C8386E" w:rsidP="000C07D3">
            <w:pPr>
              <w:pStyle w:val="TAC"/>
            </w:pPr>
            <w:r>
              <w:t>-45 dBm/MHz</w:t>
            </w:r>
          </w:p>
          <w:p w14:paraId="4C54EEF7" w14:textId="77777777" w:rsidR="00C8386E" w:rsidRDefault="00C8386E" w:rsidP="000C07D3">
            <w:pPr>
              <w:pStyle w:val="TAC"/>
            </w:pPr>
            <w:r>
              <w:t xml:space="preserve">(below 5935MHz); </w:t>
            </w:r>
          </w:p>
        </w:tc>
      </w:tr>
      <w:tr w:rsidR="00C8386E" w14:paraId="46FCE15B" w14:textId="77777777" w:rsidTr="000C07D3">
        <w:tc>
          <w:tcPr>
            <w:tcW w:w="985" w:type="dxa"/>
            <w:vMerge/>
          </w:tcPr>
          <w:p w14:paraId="1A1C1B10" w14:textId="77777777" w:rsidR="00C8386E" w:rsidRDefault="00C8386E" w:rsidP="000C07D3">
            <w:pPr>
              <w:pStyle w:val="TAC"/>
            </w:pPr>
          </w:p>
        </w:tc>
        <w:tc>
          <w:tcPr>
            <w:tcW w:w="1643" w:type="dxa"/>
            <w:vAlign w:val="center"/>
          </w:tcPr>
          <w:p w14:paraId="4346FCAB" w14:textId="77777777" w:rsidR="00C8386E" w:rsidRDefault="00C8386E" w:rsidP="000C07D3">
            <w:pPr>
              <w:pStyle w:val="TAC"/>
            </w:pPr>
          </w:p>
        </w:tc>
        <w:tc>
          <w:tcPr>
            <w:tcW w:w="1370" w:type="dxa"/>
            <w:vAlign w:val="center"/>
          </w:tcPr>
          <w:p w14:paraId="15580D62" w14:textId="77777777" w:rsidR="00C8386E" w:rsidRDefault="00C8386E" w:rsidP="000C07D3">
            <w:pPr>
              <w:pStyle w:val="TAL"/>
            </w:pPr>
          </w:p>
        </w:tc>
        <w:tc>
          <w:tcPr>
            <w:tcW w:w="1611" w:type="dxa"/>
            <w:vAlign w:val="center"/>
          </w:tcPr>
          <w:p w14:paraId="6E06133C" w14:textId="77777777" w:rsidR="00C8386E" w:rsidRPr="00A930D3" w:rsidRDefault="00C8386E" w:rsidP="000C07D3">
            <w:pPr>
              <w:pStyle w:val="TAC"/>
            </w:pPr>
          </w:p>
        </w:tc>
        <w:tc>
          <w:tcPr>
            <w:tcW w:w="1522" w:type="dxa"/>
            <w:vAlign w:val="center"/>
          </w:tcPr>
          <w:p w14:paraId="7A1CCC32" w14:textId="77777777" w:rsidR="00C8386E" w:rsidRDefault="00C8386E" w:rsidP="000C07D3">
            <w:pPr>
              <w:pStyle w:val="TAC"/>
            </w:pPr>
          </w:p>
        </w:tc>
        <w:tc>
          <w:tcPr>
            <w:tcW w:w="1789" w:type="dxa"/>
            <w:vAlign w:val="center"/>
          </w:tcPr>
          <w:p w14:paraId="3DD28D7B" w14:textId="77777777" w:rsidR="00C8386E" w:rsidRDefault="00C8386E" w:rsidP="000C07D3">
            <w:pPr>
              <w:pStyle w:val="TAC"/>
            </w:pPr>
          </w:p>
        </w:tc>
        <w:tc>
          <w:tcPr>
            <w:tcW w:w="1985" w:type="dxa"/>
            <w:vAlign w:val="center"/>
          </w:tcPr>
          <w:p w14:paraId="518A7023" w14:textId="77777777" w:rsidR="00C8386E" w:rsidRDefault="00C8386E" w:rsidP="000C07D3">
            <w:pPr>
              <w:pStyle w:val="TAC"/>
            </w:pPr>
          </w:p>
        </w:tc>
      </w:tr>
      <w:tr w:rsidR="00C8386E" w14:paraId="4E50754A" w14:textId="77777777" w:rsidTr="000C07D3">
        <w:tc>
          <w:tcPr>
            <w:tcW w:w="985" w:type="dxa"/>
            <w:vMerge/>
          </w:tcPr>
          <w:p w14:paraId="6E5E3673" w14:textId="77777777" w:rsidR="00C8386E" w:rsidRDefault="00C8386E" w:rsidP="000C07D3">
            <w:pPr>
              <w:pStyle w:val="TAC"/>
            </w:pPr>
          </w:p>
        </w:tc>
        <w:tc>
          <w:tcPr>
            <w:tcW w:w="1643" w:type="dxa"/>
            <w:vMerge w:val="restart"/>
            <w:vAlign w:val="center"/>
          </w:tcPr>
          <w:p w14:paraId="2F5BC42D" w14:textId="77777777" w:rsidR="00C8386E" w:rsidRPr="00A930D3" w:rsidRDefault="00C8386E" w:rsidP="000C07D3">
            <w:pPr>
              <w:pStyle w:val="TAC"/>
            </w:pPr>
            <w:r>
              <w:t>UK</w:t>
            </w:r>
          </w:p>
        </w:tc>
        <w:tc>
          <w:tcPr>
            <w:tcW w:w="1370" w:type="dxa"/>
            <w:vAlign w:val="center"/>
          </w:tcPr>
          <w:p w14:paraId="6E81C97D" w14:textId="77777777" w:rsidR="00C8386E" w:rsidRDefault="00C8386E" w:rsidP="000C07D3">
            <w:pPr>
              <w:pStyle w:val="TAL"/>
            </w:pPr>
            <w:r>
              <w:t xml:space="preserve">LPI </w:t>
            </w:r>
          </w:p>
        </w:tc>
        <w:tc>
          <w:tcPr>
            <w:tcW w:w="1611" w:type="dxa"/>
            <w:vMerge w:val="restart"/>
            <w:vAlign w:val="center"/>
          </w:tcPr>
          <w:p w14:paraId="041BA3C5" w14:textId="77777777" w:rsidR="00C8386E" w:rsidRPr="00A930D3" w:rsidRDefault="00C8386E" w:rsidP="000C07D3">
            <w:pPr>
              <w:pStyle w:val="TAC"/>
            </w:pPr>
            <w:r w:rsidRPr="00A930D3">
              <w:t xml:space="preserve">5925 </w:t>
            </w:r>
            <w:r>
              <w:t>–</w:t>
            </w:r>
            <w:r w:rsidRPr="00A930D3">
              <w:t xml:space="preserve"> </w:t>
            </w:r>
            <w:r>
              <w:t>6425</w:t>
            </w:r>
            <w:r w:rsidRPr="00A930D3">
              <w:t>MHz</w:t>
            </w:r>
          </w:p>
        </w:tc>
        <w:tc>
          <w:tcPr>
            <w:tcW w:w="1522" w:type="dxa"/>
            <w:vAlign w:val="center"/>
          </w:tcPr>
          <w:p w14:paraId="33666AA6" w14:textId="77777777" w:rsidR="00C8386E" w:rsidRDefault="00C8386E" w:rsidP="000C07D3">
            <w:pPr>
              <w:pStyle w:val="TAC"/>
            </w:pPr>
            <w:r>
              <w:t>24dBm</w:t>
            </w:r>
          </w:p>
        </w:tc>
        <w:tc>
          <w:tcPr>
            <w:tcW w:w="1789" w:type="dxa"/>
            <w:vMerge w:val="restart"/>
            <w:vAlign w:val="center"/>
          </w:tcPr>
          <w:p w14:paraId="7B1630FA" w14:textId="77777777" w:rsidR="00C8386E" w:rsidRDefault="00C8386E" w:rsidP="000C07D3">
            <w:pPr>
              <w:pStyle w:val="TAC"/>
            </w:pPr>
            <w:r w:rsidRPr="000D4D06">
              <w:t>11dBm/MHz</w:t>
            </w:r>
          </w:p>
        </w:tc>
        <w:tc>
          <w:tcPr>
            <w:tcW w:w="1985" w:type="dxa"/>
            <w:vAlign w:val="center"/>
          </w:tcPr>
          <w:p w14:paraId="1D61DC63" w14:textId="77777777" w:rsidR="00C8386E" w:rsidRDefault="00C8386E" w:rsidP="000C07D3">
            <w:pPr>
              <w:pStyle w:val="TAC"/>
            </w:pPr>
            <w:r>
              <w:t>In accordance with directive 2014/53/EC</w:t>
            </w:r>
          </w:p>
        </w:tc>
      </w:tr>
      <w:tr w:rsidR="00C8386E" w14:paraId="2CB16FCE" w14:textId="77777777" w:rsidTr="000C07D3">
        <w:tc>
          <w:tcPr>
            <w:tcW w:w="985" w:type="dxa"/>
            <w:vMerge/>
          </w:tcPr>
          <w:p w14:paraId="7FB081FA" w14:textId="77777777" w:rsidR="00C8386E" w:rsidRDefault="00C8386E" w:rsidP="000C07D3">
            <w:pPr>
              <w:pStyle w:val="TAC"/>
            </w:pPr>
          </w:p>
        </w:tc>
        <w:tc>
          <w:tcPr>
            <w:tcW w:w="1643" w:type="dxa"/>
            <w:vMerge/>
            <w:vAlign w:val="center"/>
          </w:tcPr>
          <w:p w14:paraId="31775BD1" w14:textId="77777777" w:rsidR="00C8386E" w:rsidRDefault="00C8386E" w:rsidP="000C07D3">
            <w:pPr>
              <w:pStyle w:val="TAC"/>
            </w:pPr>
          </w:p>
        </w:tc>
        <w:tc>
          <w:tcPr>
            <w:tcW w:w="1370" w:type="dxa"/>
            <w:vAlign w:val="center"/>
          </w:tcPr>
          <w:p w14:paraId="4B0A2E7A" w14:textId="77777777" w:rsidR="00C8386E" w:rsidRDefault="00C8386E" w:rsidP="000C07D3">
            <w:pPr>
              <w:pStyle w:val="TAL"/>
            </w:pPr>
            <w:r>
              <w:t xml:space="preserve">VLP </w:t>
            </w:r>
          </w:p>
        </w:tc>
        <w:tc>
          <w:tcPr>
            <w:tcW w:w="1611" w:type="dxa"/>
            <w:vMerge/>
            <w:vAlign w:val="center"/>
          </w:tcPr>
          <w:p w14:paraId="60A5D815" w14:textId="77777777" w:rsidR="00C8386E" w:rsidRPr="00A930D3" w:rsidRDefault="00C8386E" w:rsidP="000C07D3">
            <w:pPr>
              <w:pStyle w:val="TAC"/>
            </w:pPr>
          </w:p>
        </w:tc>
        <w:tc>
          <w:tcPr>
            <w:tcW w:w="1522" w:type="dxa"/>
            <w:vAlign w:val="center"/>
          </w:tcPr>
          <w:p w14:paraId="555F8EB2" w14:textId="77777777" w:rsidR="00C8386E" w:rsidRDefault="00C8386E" w:rsidP="000C07D3">
            <w:pPr>
              <w:pStyle w:val="TAC"/>
            </w:pPr>
            <w:r>
              <w:t>14dBm</w:t>
            </w:r>
          </w:p>
        </w:tc>
        <w:tc>
          <w:tcPr>
            <w:tcW w:w="1789" w:type="dxa"/>
            <w:vMerge/>
            <w:vAlign w:val="center"/>
          </w:tcPr>
          <w:p w14:paraId="4DF2202D" w14:textId="77777777" w:rsidR="00C8386E" w:rsidRDefault="00C8386E" w:rsidP="000C07D3">
            <w:pPr>
              <w:pStyle w:val="TAC"/>
            </w:pPr>
          </w:p>
        </w:tc>
        <w:tc>
          <w:tcPr>
            <w:tcW w:w="1985" w:type="dxa"/>
            <w:vAlign w:val="center"/>
          </w:tcPr>
          <w:p w14:paraId="5CC92C32" w14:textId="77777777" w:rsidR="00C8386E" w:rsidRDefault="00C8386E" w:rsidP="000C07D3">
            <w:pPr>
              <w:pStyle w:val="TAC"/>
            </w:pPr>
          </w:p>
        </w:tc>
      </w:tr>
      <w:tr w:rsidR="00C8386E" w14:paraId="4A6B781F" w14:textId="77777777" w:rsidTr="000C07D3">
        <w:trPr>
          <w:trHeight w:val="131"/>
        </w:trPr>
        <w:tc>
          <w:tcPr>
            <w:tcW w:w="985" w:type="dxa"/>
          </w:tcPr>
          <w:p w14:paraId="2E1AEC0F" w14:textId="77777777" w:rsidR="00C8386E" w:rsidRPr="00A930D3" w:rsidRDefault="00C8386E" w:rsidP="000C07D3">
            <w:pPr>
              <w:pStyle w:val="TAC"/>
            </w:pPr>
          </w:p>
        </w:tc>
        <w:tc>
          <w:tcPr>
            <w:tcW w:w="1643" w:type="dxa"/>
            <w:vAlign w:val="center"/>
          </w:tcPr>
          <w:p w14:paraId="59DEB418" w14:textId="77777777" w:rsidR="00C8386E" w:rsidRPr="00A930D3" w:rsidRDefault="00C8386E" w:rsidP="000C07D3">
            <w:pPr>
              <w:pStyle w:val="TAC"/>
            </w:pPr>
          </w:p>
        </w:tc>
        <w:tc>
          <w:tcPr>
            <w:tcW w:w="1370" w:type="dxa"/>
            <w:vAlign w:val="center"/>
          </w:tcPr>
          <w:p w14:paraId="4FAFE2D8" w14:textId="77777777" w:rsidR="00C8386E" w:rsidRDefault="00C8386E" w:rsidP="000C07D3">
            <w:pPr>
              <w:pStyle w:val="TAL"/>
            </w:pPr>
          </w:p>
        </w:tc>
        <w:tc>
          <w:tcPr>
            <w:tcW w:w="1611" w:type="dxa"/>
            <w:vAlign w:val="center"/>
          </w:tcPr>
          <w:p w14:paraId="299E686A" w14:textId="77777777" w:rsidR="00C8386E" w:rsidRPr="00A930D3" w:rsidRDefault="00C8386E" w:rsidP="000C07D3">
            <w:pPr>
              <w:pStyle w:val="TAC"/>
            </w:pPr>
          </w:p>
        </w:tc>
        <w:tc>
          <w:tcPr>
            <w:tcW w:w="1522" w:type="dxa"/>
            <w:vAlign w:val="center"/>
          </w:tcPr>
          <w:p w14:paraId="3D186C38" w14:textId="77777777" w:rsidR="00C8386E" w:rsidRDefault="00C8386E" w:rsidP="000C07D3">
            <w:pPr>
              <w:pStyle w:val="TAC"/>
            </w:pPr>
          </w:p>
        </w:tc>
        <w:tc>
          <w:tcPr>
            <w:tcW w:w="1789" w:type="dxa"/>
            <w:vAlign w:val="center"/>
          </w:tcPr>
          <w:p w14:paraId="6CFC85A5" w14:textId="77777777" w:rsidR="00C8386E" w:rsidRDefault="00C8386E" w:rsidP="000C07D3">
            <w:pPr>
              <w:pStyle w:val="TAC"/>
            </w:pPr>
          </w:p>
        </w:tc>
        <w:tc>
          <w:tcPr>
            <w:tcW w:w="1985" w:type="dxa"/>
            <w:vAlign w:val="center"/>
          </w:tcPr>
          <w:p w14:paraId="2E9FFAF6" w14:textId="77777777" w:rsidR="00C8386E" w:rsidRDefault="00C8386E" w:rsidP="000C07D3">
            <w:pPr>
              <w:pStyle w:val="TAC"/>
            </w:pPr>
          </w:p>
        </w:tc>
      </w:tr>
      <w:tr w:rsidR="00C8386E" w:rsidRPr="00A930D3" w14:paraId="7CCD9F27" w14:textId="77777777" w:rsidTr="000C07D3">
        <w:trPr>
          <w:trHeight w:val="621"/>
        </w:trPr>
        <w:tc>
          <w:tcPr>
            <w:tcW w:w="985" w:type="dxa"/>
            <w:vMerge w:val="restart"/>
            <w:vAlign w:val="center"/>
          </w:tcPr>
          <w:p w14:paraId="17EC256A" w14:textId="77777777" w:rsidR="00C8386E" w:rsidRPr="00A930D3" w:rsidRDefault="00C8386E" w:rsidP="000C07D3">
            <w:pPr>
              <w:pStyle w:val="TAC"/>
            </w:pPr>
            <w:r>
              <w:t>Region 2</w:t>
            </w:r>
          </w:p>
        </w:tc>
        <w:tc>
          <w:tcPr>
            <w:tcW w:w="1643" w:type="dxa"/>
            <w:vMerge w:val="restart"/>
            <w:vAlign w:val="center"/>
          </w:tcPr>
          <w:p w14:paraId="5964196A" w14:textId="77777777" w:rsidR="00C8386E" w:rsidRPr="00A930D3" w:rsidRDefault="00C8386E" w:rsidP="000C07D3">
            <w:pPr>
              <w:pStyle w:val="TAC"/>
            </w:pPr>
            <w:r w:rsidRPr="00A930D3">
              <w:t>US</w:t>
            </w:r>
          </w:p>
        </w:tc>
        <w:tc>
          <w:tcPr>
            <w:tcW w:w="1370" w:type="dxa"/>
            <w:vAlign w:val="center"/>
          </w:tcPr>
          <w:p w14:paraId="702FE367" w14:textId="77777777" w:rsidR="00C8386E" w:rsidRPr="00A930D3" w:rsidRDefault="00C8386E" w:rsidP="000C07D3">
            <w:pPr>
              <w:pStyle w:val="TAL"/>
            </w:pPr>
            <w:r>
              <w:t xml:space="preserve">SP </w:t>
            </w:r>
          </w:p>
        </w:tc>
        <w:tc>
          <w:tcPr>
            <w:tcW w:w="1611" w:type="dxa"/>
            <w:vAlign w:val="center"/>
          </w:tcPr>
          <w:p w14:paraId="7833D5D5" w14:textId="77777777" w:rsidR="00C8386E" w:rsidRDefault="00C8386E" w:rsidP="000C07D3">
            <w:pPr>
              <w:pStyle w:val="TAC"/>
            </w:pPr>
            <w:r w:rsidRPr="00A930D3">
              <w:t xml:space="preserve">5925 </w:t>
            </w:r>
            <w:r>
              <w:t>–</w:t>
            </w:r>
            <w:r w:rsidRPr="00A930D3">
              <w:t xml:space="preserve"> 6425MHz</w:t>
            </w:r>
          </w:p>
          <w:p w14:paraId="779F5079" w14:textId="77777777" w:rsidR="00C8386E" w:rsidRPr="00A930D3" w:rsidRDefault="00C8386E" w:rsidP="000C07D3">
            <w:pPr>
              <w:pStyle w:val="TAC"/>
            </w:pPr>
            <w:r>
              <w:t>6525 – 6875MHz</w:t>
            </w:r>
          </w:p>
        </w:tc>
        <w:tc>
          <w:tcPr>
            <w:tcW w:w="1522" w:type="dxa"/>
            <w:vAlign w:val="center"/>
          </w:tcPr>
          <w:p w14:paraId="35DF3B27" w14:textId="77777777" w:rsidR="00C8386E" w:rsidRPr="00A930D3" w:rsidRDefault="00C8386E" w:rsidP="000C07D3">
            <w:pPr>
              <w:pStyle w:val="TAC"/>
            </w:pPr>
            <w:r>
              <w:t>36dBm (AP)</w:t>
            </w:r>
          </w:p>
          <w:p w14:paraId="4FED111F" w14:textId="77777777" w:rsidR="00C8386E" w:rsidRPr="00A930D3" w:rsidRDefault="00C8386E" w:rsidP="000C07D3">
            <w:pPr>
              <w:pStyle w:val="TAC"/>
            </w:pPr>
            <w:r>
              <w:t>30dBm (CL)</w:t>
            </w:r>
          </w:p>
        </w:tc>
        <w:tc>
          <w:tcPr>
            <w:tcW w:w="1789" w:type="dxa"/>
            <w:vAlign w:val="center"/>
          </w:tcPr>
          <w:p w14:paraId="54B6B6D1" w14:textId="77777777" w:rsidR="00C8386E" w:rsidRPr="00A930D3" w:rsidRDefault="00C8386E" w:rsidP="000C07D3">
            <w:pPr>
              <w:pStyle w:val="TAC"/>
            </w:pPr>
            <w:r>
              <w:t>23dBm/MHz (AP)</w:t>
            </w:r>
          </w:p>
          <w:p w14:paraId="009040A1" w14:textId="77777777" w:rsidR="00C8386E" w:rsidRPr="00A930D3" w:rsidRDefault="00C8386E" w:rsidP="000C07D3">
            <w:pPr>
              <w:pStyle w:val="TAC"/>
            </w:pPr>
            <w:r>
              <w:t>17dBm/MHz (CL)</w:t>
            </w:r>
          </w:p>
        </w:tc>
        <w:tc>
          <w:tcPr>
            <w:tcW w:w="1985" w:type="dxa"/>
            <w:vMerge w:val="restart"/>
            <w:vAlign w:val="center"/>
          </w:tcPr>
          <w:p w14:paraId="390C05A7" w14:textId="77777777" w:rsidR="00C8386E" w:rsidRDefault="00C8386E" w:rsidP="000C07D3">
            <w:pPr>
              <w:pStyle w:val="TAC"/>
            </w:pPr>
            <w:r>
              <w:t>-27 dBm/MHz</w:t>
            </w:r>
          </w:p>
          <w:p w14:paraId="1D41B51B" w14:textId="77777777" w:rsidR="00C8386E" w:rsidRPr="00A930D3" w:rsidRDefault="00C8386E" w:rsidP="000C07D3">
            <w:pPr>
              <w:pStyle w:val="TAC"/>
            </w:pPr>
            <w:r>
              <w:t>(outside operational range)</w:t>
            </w:r>
          </w:p>
        </w:tc>
      </w:tr>
      <w:tr w:rsidR="00C8386E" w:rsidRPr="00CF12F2" w14:paraId="0A76EAD5" w14:textId="77777777" w:rsidTr="000C07D3">
        <w:tc>
          <w:tcPr>
            <w:tcW w:w="985" w:type="dxa"/>
            <w:vMerge/>
            <w:vAlign w:val="center"/>
          </w:tcPr>
          <w:p w14:paraId="775F8CE8" w14:textId="77777777" w:rsidR="00C8386E" w:rsidRPr="00CF12F2" w:rsidRDefault="00C8386E" w:rsidP="000C07D3">
            <w:pPr>
              <w:pStyle w:val="TAC"/>
            </w:pPr>
          </w:p>
        </w:tc>
        <w:tc>
          <w:tcPr>
            <w:tcW w:w="1643" w:type="dxa"/>
            <w:vMerge/>
            <w:vAlign w:val="center"/>
          </w:tcPr>
          <w:p w14:paraId="27AD964C" w14:textId="77777777" w:rsidR="00C8386E" w:rsidRPr="00CF12F2" w:rsidRDefault="00C8386E" w:rsidP="000C07D3">
            <w:pPr>
              <w:pStyle w:val="TAC"/>
            </w:pPr>
          </w:p>
        </w:tc>
        <w:tc>
          <w:tcPr>
            <w:tcW w:w="1370" w:type="dxa"/>
            <w:vAlign w:val="center"/>
          </w:tcPr>
          <w:p w14:paraId="496B9862" w14:textId="77777777" w:rsidR="00C8386E" w:rsidRPr="00CF12F2" w:rsidRDefault="00C8386E" w:rsidP="000C07D3">
            <w:pPr>
              <w:pStyle w:val="TAL"/>
            </w:pPr>
            <w:r>
              <w:t xml:space="preserve">LPI </w:t>
            </w:r>
          </w:p>
        </w:tc>
        <w:tc>
          <w:tcPr>
            <w:tcW w:w="1611" w:type="dxa"/>
            <w:vAlign w:val="center"/>
          </w:tcPr>
          <w:p w14:paraId="3FC1B8F9" w14:textId="77777777" w:rsidR="00C8386E" w:rsidRPr="00CF12F2" w:rsidRDefault="00C8386E" w:rsidP="000C07D3">
            <w:pPr>
              <w:pStyle w:val="TAC"/>
            </w:pPr>
            <w:r w:rsidRPr="00CF12F2">
              <w:t xml:space="preserve">5925 </w:t>
            </w:r>
            <w:r>
              <w:t>–</w:t>
            </w:r>
            <w:r w:rsidRPr="00CF12F2">
              <w:t xml:space="preserve"> 7125MHz</w:t>
            </w:r>
          </w:p>
        </w:tc>
        <w:tc>
          <w:tcPr>
            <w:tcW w:w="1522" w:type="dxa"/>
            <w:vAlign w:val="center"/>
          </w:tcPr>
          <w:p w14:paraId="05E20C57" w14:textId="77777777" w:rsidR="00C8386E" w:rsidRPr="00CF12F2" w:rsidRDefault="00C8386E" w:rsidP="000C07D3">
            <w:pPr>
              <w:pStyle w:val="TAC"/>
            </w:pPr>
            <w:r w:rsidRPr="00CF12F2">
              <w:t>30dBm (AP)</w:t>
            </w:r>
          </w:p>
          <w:p w14:paraId="4C001DF3" w14:textId="77777777" w:rsidR="00C8386E" w:rsidRPr="00CF12F2" w:rsidRDefault="00C8386E" w:rsidP="000C07D3">
            <w:pPr>
              <w:pStyle w:val="TAC"/>
            </w:pPr>
            <w:r w:rsidRPr="00CF12F2">
              <w:t>24dBm (CL)</w:t>
            </w:r>
          </w:p>
        </w:tc>
        <w:tc>
          <w:tcPr>
            <w:tcW w:w="1789" w:type="dxa"/>
            <w:vAlign w:val="center"/>
          </w:tcPr>
          <w:p w14:paraId="3B89E3E5" w14:textId="77777777" w:rsidR="00C8386E" w:rsidRPr="00CF12F2" w:rsidRDefault="00C8386E" w:rsidP="000C07D3">
            <w:pPr>
              <w:pStyle w:val="TAC"/>
            </w:pPr>
            <w:r w:rsidRPr="00CF12F2">
              <w:t>5 dBm/MHz</w:t>
            </w:r>
            <w:r>
              <w:t xml:space="preserve"> (AP)</w:t>
            </w:r>
          </w:p>
          <w:p w14:paraId="33F8A242" w14:textId="77777777" w:rsidR="00C8386E" w:rsidRPr="00CF12F2" w:rsidRDefault="00C8386E" w:rsidP="000C07D3">
            <w:pPr>
              <w:pStyle w:val="TAC"/>
            </w:pPr>
            <w:r w:rsidRPr="00CF12F2">
              <w:t>-1 dBm/MHz</w:t>
            </w:r>
            <w:r>
              <w:t xml:space="preserve"> (CL)</w:t>
            </w:r>
          </w:p>
        </w:tc>
        <w:tc>
          <w:tcPr>
            <w:tcW w:w="1985" w:type="dxa"/>
            <w:vMerge/>
            <w:vAlign w:val="center"/>
          </w:tcPr>
          <w:p w14:paraId="64757E30" w14:textId="77777777" w:rsidR="00C8386E" w:rsidRPr="00CF12F2" w:rsidRDefault="00C8386E" w:rsidP="000C07D3">
            <w:pPr>
              <w:pStyle w:val="TAC"/>
            </w:pPr>
          </w:p>
        </w:tc>
      </w:tr>
      <w:tr w:rsidR="00C8386E" w:rsidRPr="00A930D3" w14:paraId="11C56337" w14:textId="77777777" w:rsidTr="000C07D3">
        <w:tc>
          <w:tcPr>
            <w:tcW w:w="985" w:type="dxa"/>
            <w:vMerge/>
            <w:vAlign w:val="center"/>
          </w:tcPr>
          <w:p w14:paraId="0F1B965E" w14:textId="77777777" w:rsidR="00C8386E" w:rsidRPr="00A930D3" w:rsidRDefault="00C8386E" w:rsidP="000C07D3">
            <w:pPr>
              <w:pStyle w:val="TAC"/>
            </w:pPr>
          </w:p>
        </w:tc>
        <w:tc>
          <w:tcPr>
            <w:tcW w:w="1643" w:type="dxa"/>
            <w:vAlign w:val="center"/>
          </w:tcPr>
          <w:p w14:paraId="30645556" w14:textId="77777777" w:rsidR="00C8386E" w:rsidRPr="00A930D3" w:rsidRDefault="00C8386E" w:rsidP="000C07D3">
            <w:pPr>
              <w:pStyle w:val="TAC"/>
            </w:pPr>
          </w:p>
        </w:tc>
        <w:tc>
          <w:tcPr>
            <w:tcW w:w="1370" w:type="dxa"/>
            <w:vAlign w:val="center"/>
          </w:tcPr>
          <w:p w14:paraId="142A9F22" w14:textId="77777777" w:rsidR="00C8386E" w:rsidRPr="00A930D3" w:rsidRDefault="00C8386E" w:rsidP="000C07D3">
            <w:pPr>
              <w:pStyle w:val="TAL"/>
            </w:pPr>
          </w:p>
        </w:tc>
        <w:tc>
          <w:tcPr>
            <w:tcW w:w="1611" w:type="dxa"/>
            <w:vAlign w:val="center"/>
          </w:tcPr>
          <w:p w14:paraId="42279B7E" w14:textId="77777777" w:rsidR="00C8386E" w:rsidRPr="00A930D3" w:rsidRDefault="00C8386E" w:rsidP="000C07D3">
            <w:pPr>
              <w:pStyle w:val="TAC"/>
            </w:pPr>
          </w:p>
        </w:tc>
        <w:tc>
          <w:tcPr>
            <w:tcW w:w="1522" w:type="dxa"/>
            <w:vAlign w:val="center"/>
          </w:tcPr>
          <w:p w14:paraId="0484F6D6" w14:textId="77777777" w:rsidR="00C8386E" w:rsidRPr="00A930D3" w:rsidRDefault="00C8386E" w:rsidP="000C07D3">
            <w:pPr>
              <w:pStyle w:val="TAC"/>
            </w:pPr>
          </w:p>
        </w:tc>
        <w:tc>
          <w:tcPr>
            <w:tcW w:w="1789" w:type="dxa"/>
            <w:vAlign w:val="center"/>
          </w:tcPr>
          <w:p w14:paraId="7BFE1CD8" w14:textId="77777777" w:rsidR="00C8386E" w:rsidRPr="00A930D3" w:rsidRDefault="00C8386E" w:rsidP="000C07D3">
            <w:pPr>
              <w:pStyle w:val="TAC"/>
            </w:pPr>
          </w:p>
        </w:tc>
        <w:tc>
          <w:tcPr>
            <w:tcW w:w="1985" w:type="dxa"/>
            <w:vAlign w:val="center"/>
          </w:tcPr>
          <w:p w14:paraId="5EA59802" w14:textId="77777777" w:rsidR="00C8386E" w:rsidRPr="00A930D3" w:rsidRDefault="00C8386E" w:rsidP="000C07D3">
            <w:pPr>
              <w:pStyle w:val="TAC"/>
            </w:pPr>
          </w:p>
        </w:tc>
      </w:tr>
      <w:tr w:rsidR="00C8386E" w:rsidRPr="00A930D3" w14:paraId="7C2A8D48" w14:textId="77777777" w:rsidTr="000C07D3">
        <w:tc>
          <w:tcPr>
            <w:tcW w:w="985" w:type="dxa"/>
            <w:vMerge/>
            <w:vAlign w:val="center"/>
          </w:tcPr>
          <w:p w14:paraId="5C7BEA54" w14:textId="77777777" w:rsidR="00C8386E" w:rsidRDefault="00C8386E" w:rsidP="000C07D3">
            <w:pPr>
              <w:pStyle w:val="TAC"/>
            </w:pPr>
          </w:p>
        </w:tc>
        <w:tc>
          <w:tcPr>
            <w:tcW w:w="1643" w:type="dxa"/>
            <w:vMerge w:val="restart"/>
            <w:vAlign w:val="center"/>
          </w:tcPr>
          <w:p w14:paraId="18D97EF2" w14:textId="77777777" w:rsidR="00C8386E" w:rsidRDefault="00C8386E" w:rsidP="000C07D3">
            <w:pPr>
              <w:pStyle w:val="TAC"/>
            </w:pPr>
            <w:r>
              <w:t>Canada</w:t>
            </w:r>
          </w:p>
        </w:tc>
        <w:tc>
          <w:tcPr>
            <w:tcW w:w="1370" w:type="dxa"/>
            <w:vAlign w:val="center"/>
          </w:tcPr>
          <w:p w14:paraId="6AE7C900" w14:textId="77777777" w:rsidR="00C8386E" w:rsidRPr="00A930D3" w:rsidRDefault="00C8386E" w:rsidP="000C07D3">
            <w:pPr>
              <w:pStyle w:val="TAL"/>
            </w:pPr>
            <w:r>
              <w:t xml:space="preserve">SP </w:t>
            </w:r>
          </w:p>
        </w:tc>
        <w:tc>
          <w:tcPr>
            <w:tcW w:w="1611" w:type="dxa"/>
            <w:vAlign w:val="center"/>
          </w:tcPr>
          <w:p w14:paraId="591702F4" w14:textId="77777777" w:rsidR="00C8386E" w:rsidRPr="00A930D3" w:rsidRDefault="00C8386E" w:rsidP="000C07D3">
            <w:pPr>
              <w:pStyle w:val="TAC"/>
            </w:pPr>
            <w:r w:rsidRPr="00306D11">
              <w:t>5925-6875 MHz</w:t>
            </w:r>
          </w:p>
        </w:tc>
        <w:tc>
          <w:tcPr>
            <w:tcW w:w="1522" w:type="dxa"/>
            <w:vAlign w:val="center"/>
          </w:tcPr>
          <w:p w14:paraId="62D93184" w14:textId="77777777" w:rsidR="00C8386E" w:rsidRPr="00A930D3" w:rsidRDefault="00C8386E" w:rsidP="000C07D3">
            <w:pPr>
              <w:pStyle w:val="TAC"/>
            </w:pPr>
            <w:r>
              <w:t>36dBm</w:t>
            </w:r>
          </w:p>
        </w:tc>
        <w:tc>
          <w:tcPr>
            <w:tcW w:w="1789" w:type="dxa"/>
            <w:vAlign w:val="center"/>
          </w:tcPr>
          <w:p w14:paraId="414D7DDA" w14:textId="77777777" w:rsidR="00C8386E" w:rsidRPr="00A930D3" w:rsidRDefault="00C8386E" w:rsidP="000C07D3">
            <w:pPr>
              <w:pStyle w:val="TAC"/>
            </w:pPr>
            <w:r>
              <w:t>23dBm/MHz</w:t>
            </w:r>
          </w:p>
        </w:tc>
        <w:tc>
          <w:tcPr>
            <w:tcW w:w="1985" w:type="dxa"/>
            <w:vAlign w:val="center"/>
          </w:tcPr>
          <w:p w14:paraId="54E1F96C" w14:textId="77777777" w:rsidR="00C8386E" w:rsidRPr="00A930D3" w:rsidRDefault="00C8386E" w:rsidP="000C07D3">
            <w:pPr>
              <w:pStyle w:val="TAC"/>
            </w:pPr>
          </w:p>
        </w:tc>
      </w:tr>
      <w:tr w:rsidR="00C8386E" w:rsidRPr="00A930D3" w14:paraId="4D80EF5B" w14:textId="77777777" w:rsidTr="000C07D3">
        <w:tc>
          <w:tcPr>
            <w:tcW w:w="985" w:type="dxa"/>
            <w:vMerge/>
            <w:vAlign w:val="center"/>
          </w:tcPr>
          <w:p w14:paraId="077AF653" w14:textId="77777777" w:rsidR="00C8386E" w:rsidRPr="00A930D3" w:rsidRDefault="00C8386E" w:rsidP="000C07D3">
            <w:pPr>
              <w:pStyle w:val="TAC"/>
            </w:pPr>
          </w:p>
        </w:tc>
        <w:tc>
          <w:tcPr>
            <w:tcW w:w="1643" w:type="dxa"/>
            <w:vMerge/>
            <w:vAlign w:val="center"/>
          </w:tcPr>
          <w:p w14:paraId="134888AD" w14:textId="77777777" w:rsidR="00C8386E" w:rsidRPr="00A930D3" w:rsidRDefault="00C8386E" w:rsidP="000C07D3">
            <w:pPr>
              <w:pStyle w:val="TAC"/>
            </w:pPr>
          </w:p>
        </w:tc>
        <w:tc>
          <w:tcPr>
            <w:tcW w:w="1370" w:type="dxa"/>
            <w:vAlign w:val="center"/>
          </w:tcPr>
          <w:p w14:paraId="60B00300" w14:textId="77777777" w:rsidR="00C8386E" w:rsidRPr="00A930D3" w:rsidRDefault="00C8386E" w:rsidP="000C07D3">
            <w:pPr>
              <w:pStyle w:val="TAL"/>
            </w:pPr>
            <w:r>
              <w:t xml:space="preserve">LPI </w:t>
            </w:r>
          </w:p>
        </w:tc>
        <w:tc>
          <w:tcPr>
            <w:tcW w:w="1611" w:type="dxa"/>
            <w:vMerge w:val="restart"/>
            <w:vAlign w:val="center"/>
          </w:tcPr>
          <w:p w14:paraId="5B701301" w14:textId="77777777" w:rsidR="00C8386E" w:rsidRPr="00A930D3" w:rsidRDefault="00C8386E" w:rsidP="000C07D3">
            <w:pPr>
              <w:pStyle w:val="TAC"/>
            </w:pPr>
            <w:r w:rsidRPr="00306D11">
              <w:t>5925-7125 MHz</w:t>
            </w:r>
          </w:p>
        </w:tc>
        <w:tc>
          <w:tcPr>
            <w:tcW w:w="1522" w:type="dxa"/>
            <w:vAlign w:val="center"/>
          </w:tcPr>
          <w:p w14:paraId="7595FECD" w14:textId="77777777" w:rsidR="00C8386E" w:rsidRPr="000D4D06" w:rsidRDefault="00C8386E" w:rsidP="000C07D3">
            <w:pPr>
              <w:pStyle w:val="TAC"/>
            </w:pPr>
            <w:r w:rsidRPr="000D4D06">
              <w:t>30dBm</w:t>
            </w:r>
          </w:p>
        </w:tc>
        <w:tc>
          <w:tcPr>
            <w:tcW w:w="1789" w:type="dxa"/>
            <w:vAlign w:val="center"/>
          </w:tcPr>
          <w:p w14:paraId="165CFED4" w14:textId="77777777" w:rsidR="00C8386E" w:rsidRPr="000D4D06" w:rsidRDefault="00C8386E" w:rsidP="000C07D3">
            <w:pPr>
              <w:pStyle w:val="TAC"/>
            </w:pPr>
            <w:r w:rsidRPr="000D4D06">
              <w:t>5 dBm/MHz</w:t>
            </w:r>
          </w:p>
        </w:tc>
        <w:tc>
          <w:tcPr>
            <w:tcW w:w="1985" w:type="dxa"/>
            <w:vAlign w:val="center"/>
          </w:tcPr>
          <w:p w14:paraId="08A8C457" w14:textId="77777777" w:rsidR="00C8386E" w:rsidRPr="00A930D3" w:rsidRDefault="00C8386E" w:rsidP="000C07D3">
            <w:pPr>
              <w:pStyle w:val="TAC"/>
            </w:pPr>
          </w:p>
        </w:tc>
      </w:tr>
      <w:tr w:rsidR="00C8386E" w14:paraId="2286351A" w14:textId="77777777" w:rsidTr="000C07D3">
        <w:tc>
          <w:tcPr>
            <w:tcW w:w="985" w:type="dxa"/>
            <w:vMerge/>
            <w:vAlign w:val="center"/>
          </w:tcPr>
          <w:p w14:paraId="666B6746" w14:textId="77777777" w:rsidR="00C8386E" w:rsidRPr="00A930D3" w:rsidRDefault="00C8386E" w:rsidP="000C07D3">
            <w:pPr>
              <w:pStyle w:val="TAC"/>
            </w:pPr>
          </w:p>
        </w:tc>
        <w:tc>
          <w:tcPr>
            <w:tcW w:w="1643" w:type="dxa"/>
            <w:vMerge/>
            <w:vAlign w:val="center"/>
          </w:tcPr>
          <w:p w14:paraId="4165D3E1" w14:textId="77777777" w:rsidR="00C8386E" w:rsidRPr="00A930D3" w:rsidRDefault="00C8386E" w:rsidP="000C07D3">
            <w:pPr>
              <w:pStyle w:val="TAC"/>
            </w:pPr>
          </w:p>
        </w:tc>
        <w:tc>
          <w:tcPr>
            <w:tcW w:w="1370" w:type="dxa"/>
            <w:vAlign w:val="center"/>
          </w:tcPr>
          <w:p w14:paraId="7A7E2458" w14:textId="77777777" w:rsidR="00C8386E" w:rsidRDefault="00C8386E" w:rsidP="000C07D3">
            <w:pPr>
              <w:pStyle w:val="TAL"/>
            </w:pPr>
            <w:r>
              <w:t xml:space="preserve">VLP </w:t>
            </w:r>
          </w:p>
        </w:tc>
        <w:tc>
          <w:tcPr>
            <w:tcW w:w="1611" w:type="dxa"/>
            <w:vMerge/>
            <w:vAlign w:val="center"/>
          </w:tcPr>
          <w:p w14:paraId="54453A5B" w14:textId="77777777" w:rsidR="00C8386E" w:rsidRDefault="00C8386E" w:rsidP="000C07D3">
            <w:pPr>
              <w:pStyle w:val="TAC"/>
            </w:pPr>
          </w:p>
        </w:tc>
        <w:tc>
          <w:tcPr>
            <w:tcW w:w="1522" w:type="dxa"/>
            <w:vAlign w:val="center"/>
          </w:tcPr>
          <w:p w14:paraId="7EDC8E98" w14:textId="77777777" w:rsidR="00C8386E" w:rsidRDefault="00C8386E" w:rsidP="000C07D3">
            <w:pPr>
              <w:pStyle w:val="TAC"/>
            </w:pPr>
            <w:r>
              <w:t>14dBm</w:t>
            </w:r>
          </w:p>
        </w:tc>
        <w:tc>
          <w:tcPr>
            <w:tcW w:w="1789" w:type="dxa"/>
            <w:vAlign w:val="center"/>
          </w:tcPr>
          <w:p w14:paraId="6E575FBE" w14:textId="77777777" w:rsidR="00C8386E" w:rsidRDefault="00C8386E" w:rsidP="000C07D3">
            <w:pPr>
              <w:pStyle w:val="TAC"/>
            </w:pPr>
            <w:r>
              <w:t>-8dBm/MHz</w:t>
            </w:r>
          </w:p>
        </w:tc>
        <w:tc>
          <w:tcPr>
            <w:tcW w:w="1985" w:type="dxa"/>
            <w:vAlign w:val="center"/>
          </w:tcPr>
          <w:p w14:paraId="2900E60C" w14:textId="77777777" w:rsidR="00C8386E" w:rsidRDefault="00C8386E" w:rsidP="000C07D3">
            <w:pPr>
              <w:pStyle w:val="TAC"/>
            </w:pPr>
          </w:p>
        </w:tc>
      </w:tr>
      <w:tr w:rsidR="00C8386E" w14:paraId="5ADEB646" w14:textId="77777777" w:rsidTr="000C07D3">
        <w:tc>
          <w:tcPr>
            <w:tcW w:w="985" w:type="dxa"/>
            <w:vMerge/>
            <w:vAlign w:val="center"/>
          </w:tcPr>
          <w:p w14:paraId="11AFD8A7" w14:textId="77777777" w:rsidR="00C8386E" w:rsidRPr="00A930D3" w:rsidRDefault="00C8386E" w:rsidP="000C07D3">
            <w:pPr>
              <w:pStyle w:val="TAC"/>
            </w:pPr>
          </w:p>
        </w:tc>
        <w:tc>
          <w:tcPr>
            <w:tcW w:w="1643" w:type="dxa"/>
            <w:vAlign w:val="center"/>
          </w:tcPr>
          <w:p w14:paraId="2217269B" w14:textId="77777777" w:rsidR="00C8386E" w:rsidRPr="00A930D3" w:rsidRDefault="00C8386E" w:rsidP="000C07D3">
            <w:pPr>
              <w:pStyle w:val="TAC"/>
            </w:pPr>
          </w:p>
        </w:tc>
        <w:tc>
          <w:tcPr>
            <w:tcW w:w="1370" w:type="dxa"/>
            <w:vAlign w:val="center"/>
          </w:tcPr>
          <w:p w14:paraId="6D30DB07" w14:textId="77777777" w:rsidR="00C8386E" w:rsidRDefault="00C8386E" w:rsidP="000C07D3">
            <w:pPr>
              <w:pStyle w:val="TAL"/>
            </w:pPr>
          </w:p>
        </w:tc>
        <w:tc>
          <w:tcPr>
            <w:tcW w:w="1611" w:type="dxa"/>
            <w:vAlign w:val="center"/>
          </w:tcPr>
          <w:p w14:paraId="064F89C4" w14:textId="77777777" w:rsidR="00C8386E" w:rsidRDefault="00C8386E" w:rsidP="000C07D3">
            <w:pPr>
              <w:pStyle w:val="TAC"/>
            </w:pPr>
          </w:p>
        </w:tc>
        <w:tc>
          <w:tcPr>
            <w:tcW w:w="1522" w:type="dxa"/>
            <w:vAlign w:val="center"/>
          </w:tcPr>
          <w:p w14:paraId="3464DF2C" w14:textId="77777777" w:rsidR="00C8386E" w:rsidRDefault="00C8386E" w:rsidP="000C07D3">
            <w:pPr>
              <w:pStyle w:val="TAC"/>
            </w:pPr>
          </w:p>
        </w:tc>
        <w:tc>
          <w:tcPr>
            <w:tcW w:w="1789" w:type="dxa"/>
            <w:vAlign w:val="center"/>
          </w:tcPr>
          <w:p w14:paraId="1CD272F4" w14:textId="77777777" w:rsidR="00C8386E" w:rsidRDefault="00C8386E" w:rsidP="000C07D3">
            <w:pPr>
              <w:pStyle w:val="TAC"/>
            </w:pPr>
          </w:p>
        </w:tc>
        <w:tc>
          <w:tcPr>
            <w:tcW w:w="1985" w:type="dxa"/>
            <w:vAlign w:val="center"/>
          </w:tcPr>
          <w:p w14:paraId="5090B78F" w14:textId="77777777" w:rsidR="00C8386E" w:rsidRDefault="00C8386E" w:rsidP="000C07D3">
            <w:pPr>
              <w:pStyle w:val="TAC"/>
            </w:pPr>
          </w:p>
        </w:tc>
      </w:tr>
      <w:tr w:rsidR="00C8386E" w14:paraId="7E4EE418" w14:textId="77777777" w:rsidTr="000C07D3">
        <w:tc>
          <w:tcPr>
            <w:tcW w:w="985" w:type="dxa"/>
            <w:vMerge/>
            <w:vAlign w:val="center"/>
          </w:tcPr>
          <w:p w14:paraId="2D0386A7" w14:textId="77777777" w:rsidR="00C8386E" w:rsidRDefault="00C8386E" w:rsidP="000C07D3">
            <w:pPr>
              <w:pStyle w:val="TAC"/>
            </w:pPr>
          </w:p>
        </w:tc>
        <w:tc>
          <w:tcPr>
            <w:tcW w:w="1643" w:type="dxa"/>
            <w:vMerge w:val="restart"/>
            <w:vAlign w:val="center"/>
          </w:tcPr>
          <w:p w14:paraId="7B518BBB" w14:textId="77777777" w:rsidR="00C8386E" w:rsidRPr="00A930D3" w:rsidRDefault="00C8386E" w:rsidP="000C07D3">
            <w:pPr>
              <w:pStyle w:val="TAC"/>
            </w:pPr>
            <w:r>
              <w:t>Brazil</w:t>
            </w:r>
          </w:p>
        </w:tc>
        <w:tc>
          <w:tcPr>
            <w:tcW w:w="1370" w:type="dxa"/>
            <w:vAlign w:val="center"/>
          </w:tcPr>
          <w:p w14:paraId="026A87B0" w14:textId="77777777" w:rsidR="00C8386E" w:rsidRDefault="00C8386E" w:rsidP="000C07D3">
            <w:pPr>
              <w:pStyle w:val="TAL"/>
            </w:pPr>
            <w:r>
              <w:t xml:space="preserve">LPI </w:t>
            </w:r>
          </w:p>
        </w:tc>
        <w:tc>
          <w:tcPr>
            <w:tcW w:w="1611" w:type="dxa"/>
            <w:vMerge w:val="restart"/>
            <w:vAlign w:val="center"/>
          </w:tcPr>
          <w:p w14:paraId="4BE41D10" w14:textId="77777777" w:rsidR="00C8386E" w:rsidRPr="00A930D3" w:rsidRDefault="00C8386E" w:rsidP="000C07D3">
            <w:pPr>
              <w:pStyle w:val="TAC"/>
            </w:pPr>
            <w:r w:rsidRPr="00A930D3">
              <w:t xml:space="preserve">5925 </w:t>
            </w:r>
            <w:r>
              <w:t>–</w:t>
            </w:r>
            <w:r w:rsidRPr="00A930D3">
              <w:t xml:space="preserve"> </w:t>
            </w:r>
            <w:r>
              <w:t>7125</w:t>
            </w:r>
            <w:r w:rsidRPr="00A930D3">
              <w:t>MHz</w:t>
            </w:r>
          </w:p>
        </w:tc>
        <w:tc>
          <w:tcPr>
            <w:tcW w:w="1522" w:type="dxa"/>
            <w:vAlign w:val="center"/>
          </w:tcPr>
          <w:p w14:paraId="093BDC83" w14:textId="77777777" w:rsidR="00C8386E" w:rsidRDefault="00C8386E" w:rsidP="000C07D3">
            <w:pPr>
              <w:pStyle w:val="TAC"/>
            </w:pPr>
            <w:r>
              <w:t>30dBm (AP)</w:t>
            </w:r>
          </w:p>
          <w:p w14:paraId="58875512" w14:textId="77777777" w:rsidR="00C8386E" w:rsidRDefault="00C8386E" w:rsidP="000C07D3">
            <w:pPr>
              <w:pStyle w:val="TAC"/>
            </w:pPr>
            <w:r>
              <w:t>24dBm (CL)</w:t>
            </w:r>
          </w:p>
        </w:tc>
        <w:tc>
          <w:tcPr>
            <w:tcW w:w="1789" w:type="dxa"/>
            <w:vAlign w:val="center"/>
          </w:tcPr>
          <w:p w14:paraId="5AD77851" w14:textId="77777777" w:rsidR="00C8386E" w:rsidRDefault="00C8386E" w:rsidP="000C07D3">
            <w:pPr>
              <w:pStyle w:val="TAC"/>
            </w:pPr>
            <w:r>
              <w:t>5dBm/MHz (AP)</w:t>
            </w:r>
          </w:p>
          <w:p w14:paraId="172FA108" w14:textId="77777777" w:rsidR="00C8386E" w:rsidRDefault="00C8386E" w:rsidP="000C07D3">
            <w:pPr>
              <w:pStyle w:val="TAC"/>
            </w:pPr>
            <w:r>
              <w:t>-1dBm/MHz (CL)</w:t>
            </w:r>
          </w:p>
        </w:tc>
        <w:tc>
          <w:tcPr>
            <w:tcW w:w="1985" w:type="dxa"/>
            <w:vMerge w:val="restart"/>
            <w:vAlign w:val="center"/>
          </w:tcPr>
          <w:p w14:paraId="19416F13" w14:textId="77777777" w:rsidR="00C8386E" w:rsidRDefault="00C8386E" w:rsidP="000C07D3">
            <w:pPr>
              <w:pStyle w:val="TAC"/>
            </w:pPr>
            <w:r>
              <w:t>-27 dBm/MHz (outside operational range)</w:t>
            </w:r>
          </w:p>
        </w:tc>
      </w:tr>
      <w:tr w:rsidR="00C8386E" w14:paraId="4BC97CD9" w14:textId="77777777" w:rsidTr="000C07D3">
        <w:tc>
          <w:tcPr>
            <w:tcW w:w="985" w:type="dxa"/>
            <w:vMerge/>
            <w:vAlign w:val="center"/>
          </w:tcPr>
          <w:p w14:paraId="339175C4" w14:textId="77777777" w:rsidR="00C8386E" w:rsidRDefault="00C8386E" w:rsidP="000C07D3">
            <w:pPr>
              <w:pStyle w:val="TAC"/>
            </w:pPr>
          </w:p>
        </w:tc>
        <w:tc>
          <w:tcPr>
            <w:tcW w:w="1643" w:type="dxa"/>
            <w:vMerge/>
            <w:vAlign w:val="center"/>
          </w:tcPr>
          <w:p w14:paraId="6E5F9C38" w14:textId="77777777" w:rsidR="00C8386E" w:rsidRDefault="00C8386E" w:rsidP="000C07D3">
            <w:pPr>
              <w:pStyle w:val="TAC"/>
            </w:pPr>
          </w:p>
        </w:tc>
        <w:tc>
          <w:tcPr>
            <w:tcW w:w="1370" w:type="dxa"/>
            <w:vAlign w:val="center"/>
          </w:tcPr>
          <w:p w14:paraId="64F8FD23" w14:textId="77777777" w:rsidR="00C8386E" w:rsidRDefault="00C8386E" w:rsidP="000C07D3">
            <w:pPr>
              <w:pStyle w:val="TAL"/>
            </w:pPr>
            <w:r>
              <w:t xml:space="preserve">VLP </w:t>
            </w:r>
          </w:p>
        </w:tc>
        <w:tc>
          <w:tcPr>
            <w:tcW w:w="1611" w:type="dxa"/>
            <w:vMerge/>
            <w:vAlign w:val="center"/>
          </w:tcPr>
          <w:p w14:paraId="3F141E07" w14:textId="77777777" w:rsidR="00C8386E" w:rsidRPr="00A930D3" w:rsidRDefault="00C8386E" w:rsidP="000C07D3">
            <w:pPr>
              <w:pStyle w:val="TAC"/>
            </w:pPr>
          </w:p>
        </w:tc>
        <w:tc>
          <w:tcPr>
            <w:tcW w:w="1522" w:type="dxa"/>
            <w:vAlign w:val="center"/>
          </w:tcPr>
          <w:p w14:paraId="01D0C51E" w14:textId="77777777" w:rsidR="00C8386E" w:rsidRDefault="00C8386E" w:rsidP="000C07D3">
            <w:pPr>
              <w:pStyle w:val="TAC"/>
            </w:pPr>
            <w:r>
              <w:t>17 dBm</w:t>
            </w:r>
          </w:p>
        </w:tc>
        <w:tc>
          <w:tcPr>
            <w:tcW w:w="1789" w:type="dxa"/>
            <w:vAlign w:val="center"/>
          </w:tcPr>
          <w:p w14:paraId="4126C9D1" w14:textId="77777777" w:rsidR="00C8386E" w:rsidRDefault="00C8386E" w:rsidP="000C07D3">
            <w:pPr>
              <w:pStyle w:val="TAC"/>
            </w:pPr>
            <w:r>
              <w:t>-5 dBm/MHz</w:t>
            </w:r>
          </w:p>
        </w:tc>
        <w:tc>
          <w:tcPr>
            <w:tcW w:w="1985" w:type="dxa"/>
            <w:vMerge/>
            <w:vAlign w:val="center"/>
          </w:tcPr>
          <w:p w14:paraId="0819406E" w14:textId="77777777" w:rsidR="00C8386E" w:rsidRDefault="00C8386E" w:rsidP="000C07D3">
            <w:pPr>
              <w:pStyle w:val="TAC"/>
            </w:pPr>
          </w:p>
        </w:tc>
      </w:tr>
      <w:tr w:rsidR="00C8386E" w14:paraId="6B45DF0A" w14:textId="77777777" w:rsidTr="000C07D3">
        <w:tc>
          <w:tcPr>
            <w:tcW w:w="985" w:type="dxa"/>
            <w:vMerge/>
            <w:vAlign w:val="center"/>
          </w:tcPr>
          <w:p w14:paraId="0BC77637" w14:textId="77777777" w:rsidR="00C8386E" w:rsidRDefault="00C8386E" w:rsidP="000C07D3">
            <w:pPr>
              <w:pStyle w:val="TAC"/>
            </w:pPr>
          </w:p>
        </w:tc>
        <w:tc>
          <w:tcPr>
            <w:tcW w:w="1643" w:type="dxa"/>
            <w:vAlign w:val="center"/>
          </w:tcPr>
          <w:p w14:paraId="7E0EC63D" w14:textId="77777777" w:rsidR="00C8386E" w:rsidRDefault="00C8386E" w:rsidP="000C07D3">
            <w:pPr>
              <w:pStyle w:val="TAC"/>
            </w:pPr>
          </w:p>
        </w:tc>
        <w:tc>
          <w:tcPr>
            <w:tcW w:w="1370" w:type="dxa"/>
            <w:vAlign w:val="center"/>
          </w:tcPr>
          <w:p w14:paraId="17D7FD16" w14:textId="77777777" w:rsidR="00C8386E" w:rsidRDefault="00C8386E" w:rsidP="000C07D3">
            <w:pPr>
              <w:pStyle w:val="TAL"/>
            </w:pPr>
          </w:p>
        </w:tc>
        <w:tc>
          <w:tcPr>
            <w:tcW w:w="1611" w:type="dxa"/>
            <w:vAlign w:val="center"/>
          </w:tcPr>
          <w:p w14:paraId="5414F042" w14:textId="77777777" w:rsidR="00C8386E" w:rsidRPr="00A930D3" w:rsidRDefault="00C8386E" w:rsidP="000C07D3">
            <w:pPr>
              <w:pStyle w:val="TAC"/>
            </w:pPr>
          </w:p>
        </w:tc>
        <w:tc>
          <w:tcPr>
            <w:tcW w:w="1522" w:type="dxa"/>
            <w:vAlign w:val="center"/>
          </w:tcPr>
          <w:p w14:paraId="425207D1" w14:textId="77777777" w:rsidR="00C8386E" w:rsidRDefault="00C8386E" w:rsidP="000C07D3">
            <w:pPr>
              <w:pStyle w:val="TAC"/>
            </w:pPr>
          </w:p>
        </w:tc>
        <w:tc>
          <w:tcPr>
            <w:tcW w:w="1789" w:type="dxa"/>
            <w:vAlign w:val="center"/>
          </w:tcPr>
          <w:p w14:paraId="6002AFB8" w14:textId="77777777" w:rsidR="00C8386E" w:rsidRDefault="00C8386E" w:rsidP="000C07D3">
            <w:pPr>
              <w:pStyle w:val="TAC"/>
            </w:pPr>
          </w:p>
        </w:tc>
        <w:tc>
          <w:tcPr>
            <w:tcW w:w="1985" w:type="dxa"/>
            <w:vAlign w:val="center"/>
          </w:tcPr>
          <w:p w14:paraId="621C1B08" w14:textId="77777777" w:rsidR="00C8386E" w:rsidRDefault="00C8386E" w:rsidP="000C07D3">
            <w:pPr>
              <w:pStyle w:val="TAC"/>
            </w:pPr>
          </w:p>
        </w:tc>
      </w:tr>
      <w:tr w:rsidR="00C8386E" w14:paraId="552BE7DB" w14:textId="77777777" w:rsidTr="000C07D3">
        <w:tc>
          <w:tcPr>
            <w:tcW w:w="985" w:type="dxa"/>
            <w:vMerge/>
            <w:vAlign w:val="center"/>
          </w:tcPr>
          <w:p w14:paraId="728A7A5E" w14:textId="77777777" w:rsidR="00C8386E" w:rsidRDefault="00C8386E" w:rsidP="000C07D3">
            <w:pPr>
              <w:pStyle w:val="TAC"/>
            </w:pPr>
          </w:p>
        </w:tc>
        <w:tc>
          <w:tcPr>
            <w:tcW w:w="1643" w:type="dxa"/>
            <w:vAlign w:val="center"/>
          </w:tcPr>
          <w:p w14:paraId="45854C2D" w14:textId="77777777" w:rsidR="00C8386E" w:rsidRDefault="00C8386E" w:rsidP="000C07D3">
            <w:pPr>
              <w:pStyle w:val="TAC"/>
            </w:pPr>
            <w:r>
              <w:t>Peru</w:t>
            </w:r>
          </w:p>
        </w:tc>
        <w:tc>
          <w:tcPr>
            <w:tcW w:w="1370" w:type="dxa"/>
            <w:vAlign w:val="center"/>
          </w:tcPr>
          <w:p w14:paraId="25C84712" w14:textId="77777777" w:rsidR="00C8386E" w:rsidRDefault="00C8386E" w:rsidP="000C07D3">
            <w:pPr>
              <w:pStyle w:val="TAL"/>
            </w:pPr>
            <w:r>
              <w:t xml:space="preserve">LPI </w:t>
            </w:r>
          </w:p>
        </w:tc>
        <w:tc>
          <w:tcPr>
            <w:tcW w:w="1611" w:type="dxa"/>
            <w:vAlign w:val="center"/>
          </w:tcPr>
          <w:p w14:paraId="0F5B4686" w14:textId="77777777" w:rsidR="00C8386E" w:rsidRPr="00A930D3" w:rsidRDefault="00C8386E" w:rsidP="000C07D3">
            <w:pPr>
              <w:pStyle w:val="TAC"/>
            </w:pPr>
            <w:r w:rsidRPr="00A930D3">
              <w:t xml:space="preserve">5925 </w:t>
            </w:r>
            <w:r>
              <w:t>–</w:t>
            </w:r>
            <w:r w:rsidRPr="00A930D3">
              <w:t xml:space="preserve"> </w:t>
            </w:r>
            <w:r>
              <w:t>7125</w:t>
            </w:r>
            <w:r w:rsidRPr="00A930D3">
              <w:t>MHz</w:t>
            </w:r>
          </w:p>
        </w:tc>
        <w:tc>
          <w:tcPr>
            <w:tcW w:w="1522" w:type="dxa"/>
            <w:vAlign w:val="center"/>
          </w:tcPr>
          <w:p w14:paraId="3BAD3302" w14:textId="77777777" w:rsidR="00C8386E" w:rsidRDefault="00C8386E" w:rsidP="000C07D3">
            <w:pPr>
              <w:pStyle w:val="TAC"/>
            </w:pPr>
            <w:r>
              <w:t>30dBm (AP)</w:t>
            </w:r>
          </w:p>
          <w:p w14:paraId="7E8AB3A2" w14:textId="77777777" w:rsidR="00C8386E" w:rsidRDefault="00C8386E" w:rsidP="000C07D3">
            <w:pPr>
              <w:pStyle w:val="TAC"/>
            </w:pPr>
            <w:r>
              <w:t>24dBm (CL)</w:t>
            </w:r>
          </w:p>
        </w:tc>
        <w:tc>
          <w:tcPr>
            <w:tcW w:w="1789" w:type="dxa"/>
            <w:vAlign w:val="center"/>
          </w:tcPr>
          <w:p w14:paraId="2A1A3AE0" w14:textId="77777777" w:rsidR="00C8386E" w:rsidRDefault="00C8386E" w:rsidP="000C07D3">
            <w:pPr>
              <w:pStyle w:val="TAC"/>
            </w:pPr>
            <w:r>
              <w:t>5dBm/MHz (AP)</w:t>
            </w:r>
          </w:p>
          <w:p w14:paraId="4B5161F1" w14:textId="77777777" w:rsidR="00C8386E" w:rsidRDefault="00C8386E" w:rsidP="000C07D3">
            <w:pPr>
              <w:pStyle w:val="TAC"/>
            </w:pPr>
            <w:r>
              <w:t>-1dBm/MHz (CL)</w:t>
            </w:r>
          </w:p>
        </w:tc>
        <w:tc>
          <w:tcPr>
            <w:tcW w:w="1985" w:type="dxa"/>
            <w:vAlign w:val="center"/>
          </w:tcPr>
          <w:p w14:paraId="0C2727BB" w14:textId="77777777" w:rsidR="00C8386E" w:rsidRDefault="00C8386E" w:rsidP="000C07D3">
            <w:pPr>
              <w:pStyle w:val="TAC"/>
            </w:pPr>
          </w:p>
        </w:tc>
      </w:tr>
      <w:tr w:rsidR="00C8386E" w14:paraId="07904D2A" w14:textId="77777777" w:rsidTr="000C07D3">
        <w:tc>
          <w:tcPr>
            <w:tcW w:w="985" w:type="dxa"/>
            <w:vMerge/>
            <w:vAlign w:val="center"/>
          </w:tcPr>
          <w:p w14:paraId="106A9BDF" w14:textId="77777777" w:rsidR="00C8386E" w:rsidRDefault="00C8386E" w:rsidP="000C07D3">
            <w:pPr>
              <w:pStyle w:val="TAC"/>
            </w:pPr>
          </w:p>
        </w:tc>
        <w:tc>
          <w:tcPr>
            <w:tcW w:w="1643" w:type="dxa"/>
            <w:vAlign w:val="center"/>
          </w:tcPr>
          <w:p w14:paraId="64EA6F49" w14:textId="77777777" w:rsidR="00C8386E" w:rsidRDefault="00C8386E" w:rsidP="000C07D3">
            <w:pPr>
              <w:pStyle w:val="TAC"/>
            </w:pPr>
          </w:p>
        </w:tc>
        <w:tc>
          <w:tcPr>
            <w:tcW w:w="1370" w:type="dxa"/>
            <w:vAlign w:val="center"/>
          </w:tcPr>
          <w:p w14:paraId="10BC22FB" w14:textId="77777777" w:rsidR="00C8386E" w:rsidRDefault="00C8386E" w:rsidP="000C07D3">
            <w:pPr>
              <w:pStyle w:val="TAL"/>
            </w:pPr>
          </w:p>
        </w:tc>
        <w:tc>
          <w:tcPr>
            <w:tcW w:w="1611" w:type="dxa"/>
            <w:vAlign w:val="center"/>
          </w:tcPr>
          <w:p w14:paraId="1C96BA66" w14:textId="77777777" w:rsidR="00C8386E" w:rsidRPr="00A930D3" w:rsidRDefault="00C8386E" w:rsidP="000C07D3">
            <w:pPr>
              <w:pStyle w:val="TAC"/>
            </w:pPr>
          </w:p>
        </w:tc>
        <w:tc>
          <w:tcPr>
            <w:tcW w:w="1522" w:type="dxa"/>
            <w:vAlign w:val="center"/>
          </w:tcPr>
          <w:p w14:paraId="5D798BE8" w14:textId="77777777" w:rsidR="00C8386E" w:rsidRDefault="00C8386E" w:rsidP="000C07D3">
            <w:pPr>
              <w:pStyle w:val="TAC"/>
            </w:pPr>
          </w:p>
        </w:tc>
        <w:tc>
          <w:tcPr>
            <w:tcW w:w="1789" w:type="dxa"/>
            <w:vAlign w:val="center"/>
          </w:tcPr>
          <w:p w14:paraId="1AF92D9B" w14:textId="77777777" w:rsidR="00C8386E" w:rsidRDefault="00C8386E" w:rsidP="000C07D3">
            <w:pPr>
              <w:pStyle w:val="TAC"/>
            </w:pPr>
          </w:p>
        </w:tc>
        <w:tc>
          <w:tcPr>
            <w:tcW w:w="1985" w:type="dxa"/>
            <w:vAlign w:val="center"/>
          </w:tcPr>
          <w:p w14:paraId="6457637B" w14:textId="77777777" w:rsidR="00C8386E" w:rsidRDefault="00C8386E" w:rsidP="000C07D3">
            <w:pPr>
              <w:pStyle w:val="TAC"/>
            </w:pPr>
          </w:p>
        </w:tc>
      </w:tr>
      <w:tr w:rsidR="00C8386E" w14:paraId="4677221E" w14:textId="77777777" w:rsidTr="000C07D3">
        <w:tc>
          <w:tcPr>
            <w:tcW w:w="985" w:type="dxa"/>
            <w:vMerge/>
            <w:vAlign w:val="center"/>
          </w:tcPr>
          <w:p w14:paraId="45ECF1D0" w14:textId="77777777" w:rsidR="00C8386E" w:rsidRDefault="00C8386E" w:rsidP="000C07D3">
            <w:pPr>
              <w:pStyle w:val="TAC"/>
            </w:pPr>
          </w:p>
        </w:tc>
        <w:tc>
          <w:tcPr>
            <w:tcW w:w="1643" w:type="dxa"/>
            <w:vAlign w:val="center"/>
          </w:tcPr>
          <w:p w14:paraId="2E05A330" w14:textId="77777777" w:rsidR="00C8386E" w:rsidRDefault="00C8386E" w:rsidP="000C07D3">
            <w:pPr>
              <w:pStyle w:val="TAC"/>
            </w:pPr>
            <w:r>
              <w:t>Chile</w:t>
            </w:r>
          </w:p>
        </w:tc>
        <w:tc>
          <w:tcPr>
            <w:tcW w:w="1370" w:type="dxa"/>
            <w:vAlign w:val="center"/>
          </w:tcPr>
          <w:p w14:paraId="29522E1F" w14:textId="77777777" w:rsidR="00C8386E" w:rsidRDefault="00C8386E" w:rsidP="000C07D3">
            <w:pPr>
              <w:pStyle w:val="TAL"/>
            </w:pPr>
            <w:r>
              <w:t xml:space="preserve">LPI </w:t>
            </w:r>
          </w:p>
        </w:tc>
        <w:tc>
          <w:tcPr>
            <w:tcW w:w="1611" w:type="dxa"/>
            <w:vAlign w:val="center"/>
          </w:tcPr>
          <w:p w14:paraId="50C03241" w14:textId="77777777" w:rsidR="00C8386E" w:rsidRPr="00A930D3" w:rsidRDefault="00C8386E" w:rsidP="000C07D3">
            <w:pPr>
              <w:pStyle w:val="TAC"/>
            </w:pPr>
            <w:r w:rsidRPr="00A930D3">
              <w:t xml:space="preserve">5925 </w:t>
            </w:r>
            <w:r>
              <w:t>–</w:t>
            </w:r>
            <w:r w:rsidRPr="00A930D3">
              <w:t xml:space="preserve"> </w:t>
            </w:r>
            <w:r>
              <w:t>7125</w:t>
            </w:r>
            <w:r w:rsidRPr="00A930D3">
              <w:t>MHz</w:t>
            </w:r>
          </w:p>
        </w:tc>
        <w:tc>
          <w:tcPr>
            <w:tcW w:w="1522" w:type="dxa"/>
            <w:vAlign w:val="center"/>
          </w:tcPr>
          <w:p w14:paraId="7854BD07" w14:textId="77777777" w:rsidR="00C8386E" w:rsidRDefault="00C8386E" w:rsidP="000C07D3">
            <w:pPr>
              <w:pStyle w:val="TAC"/>
            </w:pPr>
            <w:r>
              <w:t>30dBm (AP)</w:t>
            </w:r>
          </w:p>
          <w:p w14:paraId="65E4B871" w14:textId="77777777" w:rsidR="00C8386E" w:rsidRDefault="00C8386E" w:rsidP="000C07D3">
            <w:pPr>
              <w:pStyle w:val="TAC"/>
            </w:pPr>
            <w:r>
              <w:t>24dBm (CL)</w:t>
            </w:r>
          </w:p>
        </w:tc>
        <w:tc>
          <w:tcPr>
            <w:tcW w:w="1789" w:type="dxa"/>
            <w:vAlign w:val="center"/>
          </w:tcPr>
          <w:p w14:paraId="1284AD7B" w14:textId="77777777" w:rsidR="00C8386E" w:rsidRDefault="00C8386E" w:rsidP="000C07D3">
            <w:pPr>
              <w:pStyle w:val="TAC"/>
            </w:pPr>
            <w:r>
              <w:t>5dBm/MHz (AP)</w:t>
            </w:r>
          </w:p>
          <w:p w14:paraId="070006C7" w14:textId="77777777" w:rsidR="00C8386E" w:rsidRDefault="00C8386E" w:rsidP="000C07D3">
            <w:pPr>
              <w:pStyle w:val="TAC"/>
            </w:pPr>
            <w:r>
              <w:t>-1dBm/MHz (CL)</w:t>
            </w:r>
          </w:p>
        </w:tc>
        <w:tc>
          <w:tcPr>
            <w:tcW w:w="1985" w:type="dxa"/>
            <w:vAlign w:val="center"/>
          </w:tcPr>
          <w:p w14:paraId="2710B186" w14:textId="77777777" w:rsidR="00C8386E" w:rsidRDefault="00C8386E" w:rsidP="000C07D3">
            <w:pPr>
              <w:pStyle w:val="TAC"/>
            </w:pPr>
          </w:p>
        </w:tc>
      </w:tr>
      <w:tr w:rsidR="00C8386E" w14:paraId="62781D9A" w14:textId="77777777" w:rsidTr="000C07D3">
        <w:tc>
          <w:tcPr>
            <w:tcW w:w="985" w:type="dxa"/>
            <w:vAlign w:val="center"/>
          </w:tcPr>
          <w:p w14:paraId="6364BAD4" w14:textId="77777777" w:rsidR="00C8386E" w:rsidRDefault="00C8386E" w:rsidP="000C07D3">
            <w:pPr>
              <w:pStyle w:val="TAC"/>
            </w:pPr>
          </w:p>
        </w:tc>
        <w:tc>
          <w:tcPr>
            <w:tcW w:w="1643" w:type="dxa"/>
            <w:vAlign w:val="center"/>
          </w:tcPr>
          <w:p w14:paraId="2A60405E" w14:textId="77777777" w:rsidR="00C8386E" w:rsidRDefault="00C8386E" w:rsidP="000C07D3">
            <w:pPr>
              <w:pStyle w:val="TAC"/>
            </w:pPr>
          </w:p>
        </w:tc>
        <w:tc>
          <w:tcPr>
            <w:tcW w:w="1370" w:type="dxa"/>
            <w:vAlign w:val="center"/>
          </w:tcPr>
          <w:p w14:paraId="49921876" w14:textId="77777777" w:rsidR="00C8386E" w:rsidRDefault="00C8386E" w:rsidP="000C07D3">
            <w:pPr>
              <w:pStyle w:val="TAL"/>
            </w:pPr>
          </w:p>
        </w:tc>
        <w:tc>
          <w:tcPr>
            <w:tcW w:w="1611" w:type="dxa"/>
            <w:vAlign w:val="center"/>
          </w:tcPr>
          <w:p w14:paraId="04C13732" w14:textId="77777777" w:rsidR="00C8386E" w:rsidRDefault="00C8386E" w:rsidP="000C07D3">
            <w:pPr>
              <w:pStyle w:val="TAC"/>
            </w:pPr>
          </w:p>
        </w:tc>
        <w:tc>
          <w:tcPr>
            <w:tcW w:w="1522" w:type="dxa"/>
            <w:vAlign w:val="center"/>
          </w:tcPr>
          <w:p w14:paraId="036F21DB" w14:textId="77777777" w:rsidR="00C8386E" w:rsidRDefault="00C8386E" w:rsidP="000C07D3">
            <w:pPr>
              <w:pStyle w:val="TAC"/>
            </w:pPr>
          </w:p>
        </w:tc>
        <w:tc>
          <w:tcPr>
            <w:tcW w:w="1789" w:type="dxa"/>
            <w:vAlign w:val="center"/>
          </w:tcPr>
          <w:p w14:paraId="597273DF" w14:textId="77777777" w:rsidR="00C8386E" w:rsidRDefault="00C8386E" w:rsidP="000C07D3">
            <w:pPr>
              <w:pStyle w:val="TAC"/>
            </w:pPr>
          </w:p>
        </w:tc>
        <w:tc>
          <w:tcPr>
            <w:tcW w:w="1985" w:type="dxa"/>
            <w:vAlign w:val="center"/>
          </w:tcPr>
          <w:p w14:paraId="16D41D63" w14:textId="77777777" w:rsidR="00C8386E" w:rsidRDefault="00C8386E" w:rsidP="000C07D3">
            <w:pPr>
              <w:pStyle w:val="TAC"/>
            </w:pPr>
          </w:p>
        </w:tc>
      </w:tr>
      <w:tr w:rsidR="00C8386E" w14:paraId="7B659CF0" w14:textId="77777777" w:rsidTr="000C07D3">
        <w:tc>
          <w:tcPr>
            <w:tcW w:w="985" w:type="dxa"/>
            <w:vMerge w:val="restart"/>
            <w:vAlign w:val="center"/>
          </w:tcPr>
          <w:p w14:paraId="35149774" w14:textId="77777777" w:rsidR="00C8386E" w:rsidRDefault="00C8386E" w:rsidP="000C07D3">
            <w:pPr>
              <w:pStyle w:val="TAC"/>
            </w:pPr>
            <w:r>
              <w:t>Region 3</w:t>
            </w:r>
          </w:p>
        </w:tc>
        <w:tc>
          <w:tcPr>
            <w:tcW w:w="1643" w:type="dxa"/>
            <w:vMerge w:val="restart"/>
            <w:vAlign w:val="center"/>
          </w:tcPr>
          <w:p w14:paraId="7203164D" w14:textId="77777777" w:rsidR="00C8386E" w:rsidRPr="00A930D3" w:rsidRDefault="00C8386E" w:rsidP="000C07D3">
            <w:pPr>
              <w:pStyle w:val="TAC"/>
            </w:pPr>
            <w:r>
              <w:t>South Korea</w:t>
            </w:r>
          </w:p>
        </w:tc>
        <w:tc>
          <w:tcPr>
            <w:tcW w:w="1370" w:type="dxa"/>
            <w:vAlign w:val="center"/>
          </w:tcPr>
          <w:p w14:paraId="7B7B8E04" w14:textId="77777777" w:rsidR="00C8386E" w:rsidRDefault="00C8386E" w:rsidP="000C07D3">
            <w:pPr>
              <w:pStyle w:val="TAL"/>
            </w:pPr>
            <w:r>
              <w:t xml:space="preserve">LPI </w:t>
            </w:r>
          </w:p>
        </w:tc>
        <w:tc>
          <w:tcPr>
            <w:tcW w:w="1611" w:type="dxa"/>
            <w:vAlign w:val="center"/>
          </w:tcPr>
          <w:p w14:paraId="4E042E02" w14:textId="77777777" w:rsidR="00C8386E" w:rsidRPr="00A930D3" w:rsidRDefault="00C8386E" w:rsidP="000C07D3">
            <w:pPr>
              <w:pStyle w:val="TAC"/>
            </w:pPr>
            <w:r w:rsidRPr="00A930D3">
              <w:t xml:space="preserve">5925 </w:t>
            </w:r>
            <w:r>
              <w:t>–</w:t>
            </w:r>
            <w:r w:rsidRPr="00A930D3">
              <w:t xml:space="preserve"> </w:t>
            </w:r>
            <w:r>
              <w:t>7125</w:t>
            </w:r>
            <w:r w:rsidRPr="00A930D3">
              <w:t>MHz</w:t>
            </w:r>
          </w:p>
        </w:tc>
        <w:tc>
          <w:tcPr>
            <w:tcW w:w="1522" w:type="dxa"/>
            <w:vAlign w:val="center"/>
          </w:tcPr>
          <w:p w14:paraId="1165D4A0" w14:textId="77777777" w:rsidR="00C8386E" w:rsidRDefault="00C8386E" w:rsidP="000C07D3">
            <w:pPr>
              <w:pStyle w:val="TAC"/>
            </w:pPr>
            <w:r>
              <w:t>24dBm</w:t>
            </w:r>
          </w:p>
        </w:tc>
        <w:tc>
          <w:tcPr>
            <w:tcW w:w="1789" w:type="dxa"/>
            <w:vAlign w:val="center"/>
          </w:tcPr>
          <w:p w14:paraId="0A9AC60F" w14:textId="77777777" w:rsidR="00C8386E" w:rsidRDefault="00C8386E" w:rsidP="000C07D3">
            <w:pPr>
              <w:pStyle w:val="TAC"/>
            </w:pPr>
            <w:r>
              <w:t>2dBm/MHz</w:t>
            </w:r>
          </w:p>
        </w:tc>
        <w:tc>
          <w:tcPr>
            <w:tcW w:w="1985" w:type="dxa"/>
            <w:vAlign w:val="center"/>
          </w:tcPr>
          <w:p w14:paraId="6EACEF4F" w14:textId="77777777" w:rsidR="00C8386E" w:rsidRDefault="00C8386E" w:rsidP="000C07D3">
            <w:pPr>
              <w:pStyle w:val="TAC"/>
            </w:pPr>
            <w:r>
              <w:t>-27 dBm/MHz (outside operational range)</w:t>
            </w:r>
          </w:p>
        </w:tc>
      </w:tr>
      <w:tr w:rsidR="00C8386E" w14:paraId="751155AD" w14:textId="77777777" w:rsidTr="000C07D3">
        <w:tc>
          <w:tcPr>
            <w:tcW w:w="985" w:type="dxa"/>
            <w:vMerge/>
          </w:tcPr>
          <w:p w14:paraId="04428B1E" w14:textId="77777777" w:rsidR="00C8386E" w:rsidRPr="00A930D3" w:rsidRDefault="00C8386E" w:rsidP="000C07D3">
            <w:pPr>
              <w:pStyle w:val="TAC"/>
            </w:pPr>
          </w:p>
        </w:tc>
        <w:tc>
          <w:tcPr>
            <w:tcW w:w="1643" w:type="dxa"/>
            <w:vMerge/>
          </w:tcPr>
          <w:p w14:paraId="07DFAEFB" w14:textId="77777777" w:rsidR="00C8386E" w:rsidRPr="00A930D3" w:rsidRDefault="00C8386E" w:rsidP="000C07D3">
            <w:pPr>
              <w:pStyle w:val="TAC"/>
            </w:pPr>
          </w:p>
        </w:tc>
        <w:tc>
          <w:tcPr>
            <w:tcW w:w="1370" w:type="dxa"/>
            <w:vAlign w:val="center"/>
          </w:tcPr>
          <w:p w14:paraId="2B4885B0" w14:textId="77777777" w:rsidR="00C8386E" w:rsidRDefault="00C8386E" w:rsidP="000C07D3">
            <w:pPr>
              <w:pStyle w:val="TAL"/>
            </w:pPr>
            <w:r>
              <w:t xml:space="preserve">VLP </w:t>
            </w:r>
          </w:p>
        </w:tc>
        <w:tc>
          <w:tcPr>
            <w:tcW w:w="1611" w:type="dxa"/>
            <w:vAlign w:val="center"/>
          </w:tcPr>
          <w:p w14:paraId="183D74C0" w14:textId="77777777" w:rsidR="00C8386E" w:rsidRPr="00A930D3" w:rsidRDefault="00C8386E" w:rsidP="000C07D3">
            <w:pPr>
              <w:pStyle w:val="TAC"/>
            </w:pPr>
            <w:r w:rsidRPr="00A930D3">
              <w:t xml:space="preserve">5925 </w:t>
            </w:r>
            <w:r>
              <w:t>–</w:t>
            </w:r>
            <w:r w:rsidRPr="00A930D3">
              <w:t xml:space="preserve"> 6425MHz</w:t>
            </w:r>
          </w:p>
        </w:tc>
        <w:tc>
          <w:tcPr>
            <w:tcW w:w="1522" w:type="dxa"/>
            <w:vAlign w:val="center"/>
          </w:tcPr>
          <w:p w14:paraId="08B4ABFE" w14:textId="77777777" w:rsidR="00C8386E" w:rsidRDefault="00C8386E" w:rsidP="000C07D3">
            <w:pPr>
              <w:pStyle w:val="TAC"/>
            </w:pPr>
            <w:r>
              <w:t>14dBm</w:t>
            </w:r>
          </w:p>
        </w:tc>
        <w:tc>
          <w:tcPr>
            <w:tcW w:w="1789" w:type="dxa"/>
            <w:vAlign w:val="center"/>
          </w:tcPr>
          <w:p w14:paraId="1636D245" w14:textId="77777777" w:rsidR="00C8386E" w:rsidRDefault="00C8386E" w:rsidP="000C07D3">
            <w:pPr>
              <w:pStyle w:val="TAC"/>
            </w:pPr>
            <w:r>
              <w:t>1dBm/MHz</w:t>
            </w:r>
          </w:p>
        </w:tc>
        <w:tc>
          <w:tcPr>
            <w:tcW w:w="1985" w:type="dxa"/>
            <w:vAlign w:val="center"/>
          </w:tcPr>
          <w:p w14:paraId="502D4DDF" w14:textId="77777777" w:rsidR="00C8386E" w:rsidRDefault="00C8386E" w:rsidP="000C07D3">
            <w:pPr>
              <w:pStyle w:val="TAC"/>
            </w:pPr>
            <w:r>
              <w:t>-34 dBm/MHz (outside operational range)</w:t>
            </w:r>
          </w:p>
        </w:tc>
      </w:tr>
      <w:tr w:rsidR="00C8386E" w14:paraId="5E259844" w14:textId="77777777" w:rsidTr="000C07D3">
        <w:tc>
          <w:tcPr>
            <w:tcW w:w="10905" w:type="dxa"/>
            <w:gridSpan w:val="7"/>
          </w:tcPr>
          <w:p w14:paraId="3510BCBE" w14:textId="77777777" w:rsidR="00C8386E" w:rsidRDefault="00C8386E" w:rsidP="000C07D3">
            <w:pPr>
              <w:pStyle w:val="TAN"/>
            </w:pPr>
          </w:p>
        </w:tc>
      </w:tr>
    </w:tbl>
    <w:p w14:paraId="634F6156" w14:textId="77777777" w:rsidR="00C8386E" w:rsidRPr="00887BF1" w:rsidRDefault="00C8386E" w:rsidP="00C8386E"/>
    <w:p w14:paraId="5A9A855C" w14:textId="77777777" w:rsidR="00C8386E" w:rsidRPr="00C8386E" w:rsidRDefault="00C8386E" w:rsidP="00C8386E"/>
    <w:sectPr w:rsidR="00C8386E" w:rsidRPr="00C8386E" w:rsidSect="00114E2C">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2C20A" w14:textId="77777777" w:rsidR="00CE03B1" w:rsidRDefault="00CE03B1">
      <w:r>
        <w:separator/>
      </w:r>
    </w:p>
  </w:endnote>
  <w:endnote w:type="continuationSeparator" w:id="0">
    <w:p w14:paraId="30EBA2CB" w14:textId="77777777" w:rsidR="00CE03B1" w:rsidRDefault="00CE0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39514" w14:textId="77777777" w:rsidR="00CE03B1" w:rsidRDefault="00CE03B1">
      <w:r>
        <w:separator/>
      </w:r>
    </w:p>
  </w:footnote>
  <w:footnote w:type="continuationSeparator" w:id="0">
    <w:p w14:paraId="49A627B8" w14:textId="77777777" w:rsidR="00CE03B1" w:rsidRDefault="00CE0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0B"/>
    <w:rsid w:val="00033397"/>
    <w:rsid w:val="00040095"/>
    <w:rsid w:val="00051834"/>
    <w:rsid w:val="00054A22"/>
    <w:rsid w:val="00062023"/>
    <w:rsid w:val="000655A6"/>
    <w:rsid w:val="00080512"/>
    <w:rsid w:val="00084063"/>
    <w:rsid w:val="000904A1"/>
    <w:rsid w:val="00096B23"/>
    <w:rsid w:val="000A365D"/>
    <w:rsid w:val="000A68F3"/>
    <w:rsid w:val="000B3D54"/>
    <w:rsid w:val="000C3BA2"/>
    <w:rsid w:val="000C47C3"/>
    <w:rsid w:val="000D58AB"/>
    <w:rsid w:val="00104BC6"/>
    <w:rsid w:val="0011238F"/>
    <w:rsid w:val="00114E2C"/>
    <w:rsid w:val="0011527E"/>
    <w:rsid w:val="00130A82"/>
    <w:rsid w:val="0013212C"/>
    <w:rsid w:val="00133525"/>
    <w:rsid w:val="00185DAB"/>
    <w:rsid w:val="001A4C42"/>
    <w:rsid w:val="001C21C3"/>
    <w:rsid w:val="001C7417"/>
    <w:rsid w:val="001D02C2"/>
    <w:rsid w:val="001E28B6"/>
    <w:rsid w:val="001E680C"/>
    <w:rsid w:val="001F0C1D"/>
    <w:rsid w:val="001F1132"/>
    <w:rsid w:val="001F168B"/>
    <w:rsid w:val="002128C7"/>
    <w:rsid w:val="00222DF2"/>
    <w:rsid w:val="002347A2"/>
    <w:rsid w:val="00247926"/>
    <w:rsid w:val="002675F0"/>
    <w:rsid w:val="00271191"/>
    <w:rsid w:val="00276891"/>
    <w:rsid w:val="00276EE4"/>
    <w:rsid w:val="002A497C"/>
    <w:rsid w:val="002B6339"/>
    <w:rsid w:val="002E00EE"/>
    <w:rsid w:val="002E69AD"/>
    <w:rsid w:val="002E7985"/>
    <w:rsid w:val="003172DC"/>
    <w:rsid w:val="00337359"/>
    <w:rsid w:val="0034052F"/>
    <w:rsid w:val="0035462D"/>
    <w:rsid w:val="003765B8"/>
    <w:rsid w:val="00386C99"/>
    <w:rsid w:val="003A0483"/>
    <w:rsid w:val="003C3971"/>
    <w:rsid w:val="003C4413"/>
    <w:rsid w:val="003E1D99"/>
    <w:rsid w:val="003E7753"/>
    <w:rsid w:val="00423334"/>
    <w:rsid w:val="00425ECF"/>
    <w:rsid w:val="004345EC"/>
    <w:rsid w:val="004826A9"/>
    <w:rsid w:val="004C1601"/>
    <w:rsid w:val="004D3578"/>
    <w:rsid w:val="004E213A"/>
    <w:rsid w:val="004F0988"/>
    <w:rsid w:val="004F3340"/>
    <w:rsid w:val="004F3E3D"/>
    <w:rsid w:val="005225A8"/>
    <w:rsid w:val="0053160D"/>
    <w:rsid w:val="0053388B"/>
    <w:rsid w:val="00535773"/>
    <w:rsid w:val="00543E6C"/>
    <w:rsid w:val="00565087"/>
    <w:rsid w:val="00572198"/>
    <w:rsid w:val="00572E14"/>
    <w:rsid w:val="00591B63"/>
    <w:rsid w:val="005973BE"/>
    <w:rsid w:val="005A27D7"/>
    <w:rsid w:val="005A5986"/>
    <w:rsid w:val="005D2E01"/>
    <w:rsid w:val="005D7526"/>
    <w:rsid w:val="005D7CA2"/>
    <w:rsid w:val="005E69AE"/>
    <w:rsid w:val="00602AEA"/>
    <w:rsid w:val="00607E3C"/>
    <w:rsid w:val="00611E31"/>
    <w:rsid w:val="00614FDF"/>
    <w:rsid w:val="006246A7"/>
    <w:rsid w:val="0062595A"/>
    <w:rsid w:val="0063543D"/>
    <w:rsid w:val="00647114"/>
    <w:rsid w:val="006761D8"/>
    <w:rsid w:val="006A323F"/>
    <w:rsid w:val="006B0096"/>
    <w:rsid w:val="006B30D0"/>
    <w:rsid w:val="006C3D95"/>
    <w:rsid w:val="006E5C86"/>
    <w:rsid w:val="00712778"/>
    <w:rsid w:val="00713C44"/>
    <w:rsid w:val="00734A5B"/>
    <w:rsid w:val="0074026F"/>
    <w:rsid w:val="007429F6"/>
    <w:rsid w:val="00744E76"/>
    <w:rsid w:val="00752198"/>
    <w:rsid w:val="00753881"/>
    <w:rsid w:val="00760E53"/>
    <w:rsid w:val="00774DA4"/>
    <w:rsid w:val="00776D5C"/>
    <w:rsid w:val="00781F0F"/>
    <w:rsid w:val="00790471"/>
    <w:rsid w:val="007A00B1"/>
    <w:rsid w:val="007B600E"/>
    <w:rsid w:val="007C2E55"/>
    <w:rsid w:val="007F0F4A"/>
    <w:rsid w:val="008028A4"/>
    <w:rsid w:val="0080654E"/>
    <w:rsid w:val="00820B25"/>
    <w:rsid w:val="00830747"/>
    <w:rsid w:val="008601C0"/>
    <w:rsid w:val="008768CA"/>
    <w:rsid w:val="008A3B4F"/>
    <w:rsid w:val="008C384C"/>
    <w:rsid w:val="008C4E0A"/>
    <w:rsid w:val="008D21DB"/>
    <w:rsid w:val="008E7986"/>
    <w:rsid w:val="0090271F"/>
    <w:rsid w:val="00902E23"/>
    <w:rsid w:val="00905803"/>
    <w:rsid w:val="009114D7"/>
    <w:rsid w:val="0091348E"/>
    <w:rsid w:val="00917CCB"/>
    <w:rsid w:val="00942EC2"/>
    <w:rsid w:val="009A34E1"/>
    <w:rsid w:val="009B59E3"/>
    <w:rsid w:val="009F37B7"/>
    <w:rsid w:val="009F5E43"/>
    <w:rsid w:val="00A10F02"/>
    <w:rsid w:val="00A164B4"/>
    <w:rsid w:val="00A26956"/>
    <w:rsid w:val="00A44A80"/>
    <w:rsid w:val="00A44C11"/>
    <w:rsid w:val="00A53724"/>
    <w:rsid w:val="00A73129"/>
    <w:rsid w:val="00A82346"/>
    <w:rsid w:val="00A84711"/>
    <w:rsid w:val="00A92BA1"/>
    <w:rsid w:val="00AC6BC6"/>
    <w:rsid w:val="00AE3797"/>
    <w:rsid w:val="00B062CE"/>
    <w:rsid w:val="00B15449"/>
    <w:rsid w:val="00B21DA1"/>
    <w:rsid w:val="00B4625D"/>
    <w:rsid w:val="00B51BD2"/>
    <w:rsid w:val="00B55E0F"/>
    <w:rsid w:val="00B77C93"/>
    <w:rsid w:val="00B93086"/>
    <w:rsid w:val="00BA19ED"/>
    <w:rsid w:val="00BA300B"/>
    <w:rsid w:val="00BA4B8D"/>
    <w:rsid w:val="00BB7C4B"/>
    <w:rsid w:val="00BC0F7D"/>
    <w:rsid w:val="00BD4EB5"/>
    <w:rsid w:val="00BE3255"/>
    <w:rsid w:val="00BF128E"/>
    <w:rsid w:val="00C1496A"/>
    <w:rsid w:val="00C27E2F"/>
    <w:rsid w:val="00C33079"/>
    <w:rsid w:val="00C3593C"/>
    <w:rsid w:val="00C45231"/>
    <w:rsid w:val="00C72833"/>
    <w:rsid w:val="00C7303B"/>
    <w:rsid w:val="00C80F1D"/>
    <w:rsid w:val="00C8386E"/>
    <w:rsid w:val="00C93F40"/>
    <w:rsid w:val="00CA3D0C"/>
    <w:rsid w:val="00CD5E72"/>
    <w:rsid w:val="00CE03B1"/>
    <w:rsid w:val="00CF20E3"/>
    <w:rsid w:val="00D20021"/>
    <w:rsid w:val="00D309CC"/>
    <w:rsid w:val="00D36ED8"/>
    <w:rsid w:val="00D46431"/>
    <w:rsid w:val="00D56A52"/>
    <w:rsid w:val="00D57972"/>
    <w:rsid w:val="00D675A9"/>
    <w:rsid w:val="00D738D6"/>
    <w:rsid w:val="00D755EB"/>
    <w:rsid w:val="00D87E00"/>
    <w:rsid w:val="00D90D08"/>
    <w:rsid w:val="00D9134D"/>
    <w:rsid w:val="00D93B95"/>
    <w:rsid w:val="00D94A4B"/>
    <w:rsid w:val="00DA0655"/>
    <w:rsid w:val="00DA7A03"/>
    <w:rsid w:val="00DB1818"/>
    <w:rsid w:val="00DC309B"/>
    <w:rsid w:val="00DC4DA2"/>
    <w:rsid w:val="00DD4C17"/>
    <w:rsid w:val="00DF2B1F"/>
    <w:rsid w:val="00DF4D96"/>
    <w:rsid w:val="00DF6189"/>
    <w:rsid w:val="00DF62CD"/>
    <w:rsid w:val="00E16509"/>
    <w:rsid w:val="00E44582"/>
    <w:rsid w:val="00E52814"/>
    <w:rsid w:val="00E52AD0"/>
    <w:rsid w:val="00E72324"/>
    <w:rsid w:val="00E72ABE"/>
    <w:rsid w:val="00E77645"/>
    <w:rsid w:val="00E8614A"/>
    <w:rsid w:val="00E8775A"/>
    <w:rsid w:val="00EA3E16"/>
    <w:rsid w:val="00EA5EAF"/>
    <w:rsid w:val="00EA606C"/>
    <w:rsid w:val="00EB0852"/>
    <w:rsid w:val="00EC0E96"/>
    <w:rsid w:val="00EC4A25"/>
    <w:rsid w:val="00EE5AA7"/>
    <w:rsid w:val="00F025A2"/>
    <w:rsid w:val="00F04712"/>
    <w:rsid w:val="00F21311"/>
    <w:rsid w:val="00F22EC7"/>
    <w:rsid w:val="00F325C8"/>
    <w:rsid w:val="00F55949"/>
    <w:rsid w:val="00F62AEB"/>
    <w:rsid w:val="00F653B8"/>
    <w:rsid w:val="00F7064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76D5C"/>
    <w:rPr>
      <w:rFonts w:ascii="Arial" w:hAnsi="Arial"/>
      <w:sz w:val="18"/>
      <w:lang w:eastAsia="en-US"/>
    </w:rPr>
  </w:style>
  <w:style w:type="character" w:customStyle="1" w:styleId="TAHCar">
    <w:name w:val="TAH Car"/>
    <w:link w:val="TAH"/>
    <w:qFormat/>
    <w:rsid w:val="00776D5C"/>
    <w:rPr>
      <w:rFonts w:ascii="Arial" w:hAnsi="Arial"/>
      <w:b/>
      <w:sz w:val="18"/>
      <w:lang w:eastAsia="en-US"/>
    </w:rPr>
  </w:style>
  <w:style w:type="character" w:customStyle="1" w:styleId="TANChar">
    <w:name w:val="TAN Char"/>
    <w:link w:val="TAN"/>
    <w:qFormat/>
    <w:rsid w:val="00C8386E"/>
    <w:rPr>
      <w:rFonts w:ascii="Arial" w:hAnsi="Arial"/>
      <w:sz w:val="18"/>
      <w:lang w:eastAsia="en-US"/>
    </w:rPr>
  </w:style>
  <w:style w:type="character" w:customStyle="1" w:styleId="TALChar">
    <w:name w:val="TAL Char"/>
    <w:link w:val="TAL"/>
    <w:locked/>
    <w:rsid w:val="00C8386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61</TotalTime>
  <Pages>4</Pages>
  <Words>1688</Words>
  <Characters>8896</Characters>
  <Application>Microsoft Office Word</Application>
  <DocSecurity>0</DocSecurity>
  <Lines>269</Lines>
  <Paragraphs>170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10414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11</cp:revision>
  <cp:lastPrinted>2019-02-25T14:05:00Z</cp:lastPrinted>
  <dcterms:created xsi:type="dcterms:W3CDTF">2021-08-06T15:29:00Z</dcterms:created>
  <dcterms:modified xsi:type="dcterms:W3CDTF">2021-08-06T20:51:00Z</dcterms:modified>
  <cp:category/>
</cp:coreProperties>
</file>